
<file path=[Content_Types].xml><?xml version="1.0" encoding="utf-8"?>
<Types xmlns="http://schemas.openxmlformats.org/package/2006/content-types">
  <Override PartName="/_rels/.rels" ContentType="application/vnd.openxmlformats-package.relationships+xml"/>
  <Override PartName="/word/settings.xml" ContentType="application/vnd.openxmlformats-officedocument.wordprocessingml.setting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ListParagraph"/>
        <w:spacing w:lineRule="auto" w:line="360" w:before="240" w:after="0"/>
        <w:ind w:left="0" w:right="0" w:hanging="0"/>
        <w:contextualSpacing/>
        <w:jc w:val="both"/>
        <w:rPr>
          <w:rFonts w:eastAsia="Times New Roman" w:cs="Times New Roman" w:ascii="Times New Roman" w:hAnsi="Times New Roman"/>
          <w:b/>
          <w:bCs/>
          <w:lang w:eastAsia="pl-PL"/>
        </w:rPr>
      </w:pPr>
      <w:r>
        <w:rPr>
          <w:rFonts w:eastAsia="Times New Roman" w:cs="Times New Roman" w:ascii="Times New Roman" w:hAnsi="Times New Roman"/>
          <w:b/>
          <w:bCs/>
          <w:lang w:eastAsia="pl-PL"/>
        </w:rPr>
        <w:t>NAJWAŻNIEJSZE ZMIANY PRZEPISÓW UDPPIW ZWIĄZANE:</w:t>
      </w:r>
    </w:p>
    <w:p>
      <w:pPr>
        <w:pStyle w:val="ListParagraph"/>
        <w:spacing w:lineRule="auto" w:line="360" w:before="240" w:after="0"/>
        <w:ind w:left="0" w:right="0" w:hanging="0"/>
        <w:contextualSpacing/>
        <w:jc w:val="both"/>
        <w:rPr>
          <w:b/>
          <w:bCs/>
        </w:rPr>
      </w:pPr>
      <w:r>
        <w:rPr>
          <w:b/>
          <w:bCs/>
        </w:rPr>
      </w:r>
    </w:p>
    <w:p>
      <w:pPr>
        <w:pStyle w:val="ListParagraph"/>
        <w:numPr>
          <w:ilvl w:val="0"/>
          <w:numId w:val="2"/>
        </w:numPr>
        <w:spacing w:lineRule="auto" w:line="360" w:before="240" w:after="0"/>
        <w:ind w:left="284" w:right="0" w:hanging="284"/>
        <w:contextualSpacing/>
        <w:jc w:val="both"/>
        <w:rPr>
          <w:rFonts w:eastAsia="Times New Roman" w:cs="Times New Roman" w:ascii="Times New Roman" w:hAnsi="Times New Roman"/>
          <w:b/>
          <w:bCs/>
          <w:lang w:eastAsia="pl-PL"/>
        </w:rPr>
      </w:pPr>
      <w:r>
        <w:rPr>
          <w:rFonts w:eastAsia="Times New Roman" w:cs="Times New Roman" w:ascii="Times New Roman" w:hAnsi="Times New Roman"/>
          <w:b/>
          <w:bCs/>
          <w:lang w:eastAsia="pl-PL"/>
        </w:rPr>
        <w:t>z mechanizmem 1% podatku dochodowego od osób fizycznych:</w:t>
      </w:r>
    </w:p>
    <w:p>
      <w:pPr>
        <w:pStyle w:val="ListParagraph"/>
        <w:numPr>
          <w:ilvl w:val="0"/>
          <w:numId w:val="3"/>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i/>
          <w:lang w:eastAsia="pl-PL"/>
        </w:rPr>
        <w:t>expressis verbis</w:t>
      </w:r>
      <w:r>
        <w:rPr>
          <w:rFonts w:eastAsia="Times New Roman" w:cs="Times New Roman" w:ascii="Times New Roman" w:hAnsi="Times New Roman"/>
          <w:bCs/>
          <w:lang w:eastAsia="pl-PL"/>
        </w:rPr>
        <w:t xml:space="preserve">  zakazano przekazywania środków z 1% PIT przez organizacje pożytku publicznego innym opp, które nie zostały uwzględnione w wykazie MPiPS;</w:t>
      </w:r>
    </w:p>
    <w:p>
      <w:pPr>
        <w:pStyle w:val="ListParagraph"/>
        <w:numPr>
          <w:ilvl w:val="0"/>
          <w:numId w:val="3"/>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 xml:space="preserve"> </w:t>
      </w:r>
      <w:r>
        <w:rPr>
          <w:rFonts w:eastAsia="Times New Roman" w:cs="Times New Roman" w:ascii="Times New Roman" w:hAnsi="Times New Roman"/>
          <w:bCs/>
          <w:lang w:eastAsia="pl-PL"/>
        </w:rPr>
        <w:t>proponuje się wprowadzenie limitów środków z 1% podatku, które mogą być wydatkowane przez opp na reklamę prowadzonej działalności, w tym zachęcanie podatników do przekazywania 1% PIT (5%- do 200 tys. z 1%, pow. 2%)</w:t>
      </w:r>
    </w:p>
    <w:p>
      <w:pPr>
        <w:pStyle w:val="ListParagraph"/>
        <w:numPr>
          <w:ilvl w:val="0"/>
          <w:numId w:val="3"/>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bCs/>
          <w:lang w:eastAsia="pl-PL"/>
        </w:rPr>
        <w:t xml:space="preserve">obowiązek wyodrębnienia w ewidencji księgowej środków uzyskanych i wydatkowanych z 1% PIT </w:t>
      </w:r>
      <w:r>
        <w:rPr>
          <w:rFonts w:eastAsia="Times New Roman" w:cs="Times New Roman" w:ascii="Times New Roman" w:hAnsi="Times New Roman"/>
          <w:lang w:eastAsia="pl-PL"/>
        </w:rPr>
        <w:t>w stopniu umożliwiającym określenie przychodów i kosztów;</w:t>
      </w:r>
    </w:p>
    <w:p>
      <w:pPr>
        <w:pStyle w:val="ListParagraph"/>
        <w:numPr>
          <w:ilvl w:val="0"/>
          <w:numId w:val="3"/>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bCs/>
          <w:lang w:eastAsia="pl-PL"/>
        </w:rPr>
        <w:t xml:space="preserve">naczelnik urzędu skarbowego ma mieć kompetencję, na wniosek MPiPS, do wstrzymania przekazywania środków z 1% PIT </w:t>
      </w:r>
      <w:r>
        <w:rPr>
          <w:rFonts w:eastAsia="Times New Roman" w:cs="Times New Roman" w:ascii="Times New Roman" w:hAnsi="Times New Roman"/>
          <w:lang w:eastAsia="pl-PL"/>
        </w:rPr>
        <w:t>w stosunku do organizacji pożytku publicznego, wobec której zostało wszczęte postępowanie rejestrowe o pozbawienie statusu opp;</w:t>
      </w:r>
    </w:p>
    <w:p>
      <w:pPr>
        <w:pStyle w:val="ListParagraph"/>
        <w:numPr>
          <w:ilvl w:val="0"/>
          <w:numId w:val="3"/>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lang w:eastAsia="pl-PL"/>
        </w:rPr>
        <w:t xml:space="preserve">na organizacji pożytku publicznego spoczywałby obowiązek zwrotu niewykorzystanych środków z </w:t>
      </w:r>
      <w:r>
        <w:rPr>
          <w:rFonts w:eastAsia="Times New Roman" w:cs="Times New Roman" w:ascii="Times New Roman" w:hAnsi="Times New Roman"/>
          <w:lang w:eastAsia="pl-PL"/>
        </w:rPr>
        <w:t>1</w:t>
      </w:r>
      <w:r>
        <w:rPr>
          <w:rFonts w:eastAsia="Times New Roman" w:cs="Times New Roman" w:ascii="Times New Roman" w:hAnsi="Times New Roman"/>
          <w:lang w:eastAsia="pl-PL"/>
        </w:rPr>
        <w:t>% PIT w terminie 7 dni od momentu utraty statusu opp</w:t>
      </w:r>
    </w:p>
    <w:p>
      <w:pPr>
        <w:pStyle w:val="ListParagraph"/>
        <w:spacing w:lineRule="auto" w:line="360" w:before="240" w:after="0"/>
        <w:contextualSpacing/>
        <w:jc w:val="both"/>
        <w:rPr/>
      </w:pPr>
      <w:r>
        <w:rPr/>
      </w:r>
    </w:p>
    <w:p>
      <w:pPr>
        <w:pStyle w:val="ListParagraph"/>
        <w:numPr>
          <w:ilvl w:val="0"/>
          <w:numId w:val="2"/>
        </w:numPr>
        <w:spacing w:lineRule="auto" w:line="360" w:before="240" w:after="0"/>
        <w:ind w:left="284" w:right="0" w:hanging="284"/>
        <w:contextualSpacing/>
        <w:jc w:val="both"/>
        <w:rPr>
          <w:rFonts w:eastAsia="Times New Roman" w:cs="Times New Roman" w:ascii="Times New Roman" w:hAnsi="Times New Roman"/>
          <w:b/>
          <w:bCs/>
          <w:lang w:eastAsia="pl-PL"/>
        </w:rPr>
      </w:pPr>
      <w:r>
        <w:rPr>
          <w:rFonts w:eastAsia="Times New Roman" w:cs="Times New Roman" w:ascii="Times New Roman" w:hAnsi="Times New Roman"/>
          <w:b/>
          <w:bCs/>
          <w:lang w:eastAsia="pl-PL"/>
        </w:rPr>
        <w:t>z programami współpracy:</w:t>
      </w:r>
    </w:p>
    <w:p>
      <w:pPr>
        <w:pStyle w:val="ListParagraph"/>
        <w:numPr>
          <w:ilvl w:val="0"/>
          <w:numId w:val="3"/>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zróżnicowanie zakresu przedmiotowego programu rocznego i wieloletniego;,</w:t>
      </w:r>
    </w:p>
    <w:p>
      <w:pPr>
        <w:pStyle w:val="ListParagraph"/>
        <w:numPr>
          <w:ilvl w:val="0"/>
          <w:numId w:val="3"/>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 xml:space="preserve"> </w:t>
      </w:r>
      <w:r>
        <w:rPr>
          <w:rFonts w:eastAsia="Times New Roman" w:cs="Times New Roman" w:ascii="Times New Roman" w:hAnsi="Times New Roman"/>
          <w:bCs/>
          <w:lang w:eastAsia="pl-PL"/>
        </w:rPr>
        <w:t xml:space="preserve">wydłużenie o miesiąc terminu </w:t>
      </w:r>
      <w:r>
        <w:rPr>
          <w:rFonts w:eastAsia="Times New Roman" w:cs="Times New Roman" w:ascii="Times New Roman" w:hAnsi="Times New Roman"/>
          <w:b/>
          <w:bCs/>
          <w:lang w:eastAsia="pl-PL"/>
        </w:rPr>
        <w:t>do 31 maja</w:t>
      </w:r>
      <w:r>
        <w:rPr>
          <w:rFonts w:eastAsia="Times New Roman" w:cs="Times New Roman" w:ascii="Times New Roman" w:hAnsi="Times New Roman"/>
          <w:bCs/>
          <w:lang w:eastAsia="pl-PL"/>
        </w:rPr>
        <w:t xml:space="preserve"> na przedłożenie przez zarząd organowi stanowiącemu jst sprawozdania z realizacji programu;</w:t>
      </w:r>
    </w:p>
    <w:p>
      <w:pPr>
        <w:pStyle w:val="ListParagraph"/>
        <w:numPr>
          <w:ilvl w:val="0"/>
          <w:numId w:val="3"/>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Nałożenie na organy administracji rządowej obowiązku sporządzania programu współpracy z organizacjami pozarządowymi;</w:t>
      </w:r>
    </w:p>
    <w:p>
      <w:pPr>
        <w:pStyle w:val="ListParagraph"/>
        <w:spacing w:lineRule="auto" w:line="360" w:before="240" w:after="0"/>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w:t>
      </w:r>
      <w:r>
        <w:rPr>
          <w:rFonts w:cs="Times New Roman" w:ascii="Times New Roman" w:hAnsi="Times New Roman"/>
          <w:b/>
          <w:bCs/>
        </w:rPr>
        <w:t>e zlecaniem zadań publicznych organizacjom pozarządowym:</w:t>
      </w:r>
    </w:p>
    <w:p>
      <w:pPr>
        <w:pStyle w:val="ListParagraph"/>
        <w:numPr>
          <w:ilvl w:val="0"/>
          <w:numId w:val="4"/>
        </w:numPr>
        <w:spacing w:lineRule="auto" w:line="360" w:before="240" w:after="0"/>
        <w:ind w:left="993" w:right="0" w:hanging="284"/>
        <w:contextualSpacing/>
        <w:jc w:val="both"/>
        <w:rPr>
          <w:rFonts w:cs="Times New Roman" w:ascii="Times New Roman" w:hAnsi="Times New Roman"/>
        </w:rPr>
      </w:pPr>
      <w:r>
        <w:rPr>
          <w:rFonts w:cs="Times New Roman" w:ascii="Times New Roman" w:hAnsi="Times New Roman"/>
        </w:rPr>
        <w:t>propozycja nowych, pełniejszych rozwiązań w zakresie tzw. regrantingu;</w:t>
      </w:r>
    </w:p>
    <w:p>
      <w:pPr>
        <w:pStyle w:val="ListParagraph"/>
        <w:numPr>
          <w:ilvl w:val="0"/>
          <w:numId w:val="4"/>
        </w:numPr>
        <w:spacing w:lineRule="auto" w:line="360" w:before="240" w:after="0"/>
        <w:ind w:left="993" w:right="0" w:hanging="284"/>
        <w:contextualSpacing/>
        <w:jc w:val="both"/>
        <w:rPr>
          <w:rFonts w:cs="Times New Roman" w:ascii="Times New Roman" w:hAnsi="Times New Roman"/>
        </w:rPr>
      </w:pPr>
      <w:r>
        <w:rPr>
          <w:rFonts w:cs="Times New Roman" w:ascii="Times New Roman" w:hAnsi="Times New Roman"/>
        </w:rPr>
        <w:t>przywrócenie możliwości podzlecania wykonania części zadania publicznego podmiotowi niebędącemu stroną umowy o wsparcie/powierzenie;</w:t>
      </w:r>
    </w:p>
    <w:p>
      <w:pPr>
        <w:pStyle w:val="ListParagraph"/>
        <w:numPr>
          <w:ilvl w:val="0"/>
          <w:numId w:val="4"/>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możliwość ogłaszania otwartych konkursów ofert na zadania realizowane w roku następnym już przed przyjęciem projektu uchwały budżetowej;</w:t>
      </w:r>
    </w:p>
    <w:p>
      <w:pPr>
        <w:pStyle w:val="ListParagraph"/>
        <w:numPr>
          <w:ilvl w:val="0"/>
          <w:numId w:val="4"/>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poszerzono katalog podmiotów wchodzących w skład komisji konkursowych o mieszkańców wspólnoty samorządowej;</w:t>
      </w:r>
    </w:p>
    <w:p>
      <w:pPr>
        <w:pStyle w:val="ListParagraph"/>
        <w:numPr>
          <w:ilvl w:val="0"/>
          <w:numId w:val="4"/>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wprowadzenie uproszczonych wzorów oferty i sprawozdania przy zlecaniu zadań w trybie tzw. „małych dotacji”;</w:t>
      </w:r>
    </w:p>
    <w:p>
      <w:pPr>
        <w:pStyle w:val="ListParagraph"/>
        <w:numPr>
          <w:ilvl w:val="0"/>
          <w:numId w:val="4"/>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zastąpienie dotychczasowego obowiązku możliwością dokonywania kontroli i oceny realizacji zadania publicznego przez organ administracji publicznej zlecający to zadanie;</w:t>
      </w:r>
    </w:p>
    <w:p>
      <w:pPr>
        <w:pStyle w:val="ListParagraph"/>
        <w:spacing w:lineRule="auto" w:line="360" w:before="240" w:after="0"/>
        <w:ind w:left="993" w:right="0" w:hanging="284"/>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w:t>
      </w:r>
      <w:r>
        <w:rPr>
          <w:rFonts w:cs="Times New Roman" w:ascii="Times New Roman" w:hAnsi="Times New Roman"/>
          <w:b/>
          <w:bCs/>
        </w:rPr>
        <w:t xml:space="preserve"> inicjatywą lokalną:</w:t>
      </w:r>
    </w:p>
    <w:p>
      <w:pPr>
        <w:pStyle w:val="ListParagraph"/>
        <w:numPr>
          <w:ilvl w:val="0"/>
          <w:numId w:val="5"/>
        </w:numPr>
        <w:spacing w:lineRule="auto" w:line="360" w:before="12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 xml:space="preserve">rozszerzenie zakresu stosowania inicjatywy lokalnej poprzez objęcie tą instytucją również budowy, rozbudowy lub remontu budynków oraz obiektów architektonicznych niebędących własnością jednostki samorządu terytorialnego, np. parki, place zabaw należące do wspólnot mieszkaniowych/spółdzielni; </w:t>
      </w:r>
    </w:p>
    <w:p>
      <w:pPr>
        <w:pStyle w:val="ListParagraph"/>
        <w:numPr>
          <w:ilvl w:val="0"/>
          <w:numId w:val="5"/>
        </w:numPr>
        <w:spacing w:lineRule="auto" w:line="360" w:before="120" w:after="0"/>
        <w:ind w:left="993" w:right="0" w:hanging="284"/>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ze statusem organizacji pożytku publicznego:</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 xml:space="preserve">wprowadzenie dla opp, których rok obrotowy jest niezgodny z rokiem kalendarzowym (analogicznie jak dla pozostałych organizacji) terminu dziennego – </w:t>
      </w:r>
      <w:r>
        <w:rPr>
          <w:rFonts w:eastAsia="Times New Roman" w:cs="Times New Roman" w:ascii="Times New Roman" w:hAnsi="Times New Roman"/>
          <w:b/>
          <w:bCs/>
          <w:lang w:eastAsia="pl-PL"/>
        </w:rPr>
        <w:t xml:space="preserve">30.XI </w:t>
      </w:r>
      <w:r>
        <w:rPr>
          <w:rFonts w:eastAsia="Times New Roman" w:cs="Times New Roman" w:ascii="Times New Roman" w:hAnsi="Times New Roman"/>
          <w:bCs/>
          <w:lang w:eastAsia="pl-PL"/>
        </w:rPr>
        <w:t>- na zamieszczenie sprawozdania merytorycznego i finansowego na stronie internetowej MPiPS;</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zniesienie obowiązku składania przez opp będące fundacjami obowiązku składania sprawozdania z działalności ministrowi właściwemu ze względu na cel działalności w przypadku zamieszczenia sprawozdania merytorycznego na stronie internetowej MPiPS;</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ograniczenie czasu trwania jednej kontroli w opp do 24 dni roboczych;</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zwiększenie transparentności opp poprzez wprowadzenie obowiązku podawania w pismach oraz na swoich stronach internetowych określonego zakresu danych;</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wprowadzenie zasad prowadzenia reklamy przez opp (art. 27c)</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w przypadku wpisania do Krajowego Rejestru Sądowego informacji o otwarciu likwidacji lub o ogłoszeniu upadłości organizacji pożytku publicznego sąd jednocześnie orzekałby o wykreśleniu informacji o posiadaniu statusu opp;</w:t>
      </w:r>
    </w:p>
    <w:p>
      <w:pPr>
        <w:pStyle w:val="ListParagraph"/>
        <w:numPr>
          <w:ilvl w:val="0"/>
          <w:numId w:val="5"/>
        </w:numPr>
        <w:spacing w:lineRule="auto" w:line="360" w:before="240" w:after="0"/>
        <w:ind w:left="993" w:right="0" w:hanging="284"/>
        <w:contextualSpacing/>
        <w:jc w:val="both"/>
        <w:rPr>
          <w:rFonts w:eastAsia="Times New Roman" w:cs="Times New Roman" w:ascii="Times New Roman" w:hAnsi="Times New Roman"/>
          <w:sz w:val="20"/>
          <w:szCs w:val="20"/>
          <w:lang w:eastAsia="pl-PL"/>
        </w:rPr>
      </w:pPr>
      <w:r>
        <w:rPr>
          <w:rFonts w:eastAsia="Times New Roman" w:cs="Times New Roman" w:ascii="Times New Roman" w:hAnsi="Times New Roman"/>
          <w:lang w:eastAsia="pl-PL"/>
        </w:rPr>
        <w:t xml:space="preserve">poszerzenie katalogu naruszeń będących podstawą do podjęcia środków nadzorczych przez MPiPS </w:t>
      </w:r>
      <w:r>
        <w:rPr>
          <w:rFonts w:eastAsia="Times New Roman" w:cs="Times New Roman" w:ascii="Times New Roman" w:hAnsi="Times New Roman"/>
          <w:sz w:val="20"/>
          <w:szCs w:val="20"/>
          <w:lang w:eastAsia="pl-PL"/>
        </w:rPr>
        <w:t>(m.in.</w:t>
      </w:r>
      <w:r>
        <w:rPr>
          <w:rFonts w:cs="Times New Roman" w:ascii="Times New Roman" w:hAnsi="Times New Roman"/>
          <w:b/>
          <w:sz w:val="20"/>
          <w:szCs w:val="20"/>
          <w:lang w:eastAsia="pl-PL"/>
        </w:rPr>
        <w:t xml:space="preserve"> </w:t>
      </w:r>
      <w:r>
        <w:rPr>
          <w:rFonts w:cs="Times New Roman" w:ascii="Times New Roman" w:hAnsi="Times New Roman"/>
          <w:sz w:val="20"/>
          <w:szCs w:val="20"/>
        </w:rPr>
        <w:t xml:space="preserve">naruszenie obowiązków wynikających z przepisów </w:t>
      </w:r>
      <w:r>
        <w:rPr>
          <w:rFonts w:cs="Times New Roman" w:ascii="Times New Roman" w:hAnsi="Times New Roman"/>
          <w:i/>
          <w:sz w:val="20"/>
          <w:szCs w:val="20"/>
        </w:rPr>
        <w:t>o przeciwdziałaniu praniu pieniędzy oraz finansowaniu terroryzmu</w:t>
      </w:r>
      <w:r>
        <w:rPr>
          <w:rFonts w:eastAsia="Times New Roman" w:cs="Times New Roman" w:ascii="Times New Roman" w:hAnsi="Times New Roman"/>
          <w:sz w:val="20"/>
          <w:szCs w:val="20"/>
          <w:lang w:eastAsia="pl-PL"/>
        </w:rPr>
        <w:t>,</w:t>
      </w:r>
      <w:r>
        <w:rPr>
          <w:rFonts w:cs="Times New Roman" w:ascii="Times New Roman" w:hAnsi="Times New Roman"/>
          <w:b/>
          <w:sz w:val="20"/>
          <w:szCs w:val="20"/>
          <w:lang w:eastAsia="pl-PL"/>
        </w:rPr>
        <w:t xml:space="preserve"> </w:t>
      </w:r>
      <w:r>
        <w:rPr>
          <w:rFonts w:eastAsia="Times New Roman" w:cs="Times New Roman" w:ascii="Times New Roman" w:hAnsi="Times New Roman"/>
          <w:sz w:val="20"/>
          <w:szCs w:val="20"/>
          <w:lang w:eastAsia="pl-PL"/>
        </w:rPr>
        <w:t>naruszenia przepisów związanych ze stosowaniem uprawnień, o których mowa w art. 24 ustawy dppiw,</w:t>
      </w:r>
      <w:r>
        <w:rPr>
          <w:rFonts w:cs="Times New Roman" w:ascii="Times New Roman" w:hAnsi="Times New Roman"/>
          <w:b/>
          <w:sz w:val="20"/>
          <w:szCs w:val="20"/>
          <w:lang w:eastAsia="pl-PL"/>
        </w:rPr>
        <w:t xml:space="preserve"> </w:t>
      </w:r>
      <w:r>
        <w:rPr>
          <w:rFonts w:eastAsia="Times New Roman" w:cs="Times New Roman" w:ascii="Times New Roman" w:hAnsi="Times New Roman"/>
          <w:sz w:val="20"/>
          <w:szCs w:val="20"/>
          <w:lang w:eastAsia="pl-PL"/>
        </w:rPr>
        <w:t>niewykonanie wyroku sądu powszechnego lub administracyjnego, posiadanie zaległości podatkowych lub zaległości z tytułu składek na ubezpieczenie społeczne, w wysokości przekraczającej przeciętne miesięczne wynagrodzenie, jeżeli ww. zaległości istnieją co najmniej 6 miesięcy i zostały stwierdzone prawomocną decyzją lub administracyjnym tytułem wykonawczym);</w:t>
      </w:r>
    </w:p>
    <w:p>
      <w:pPr>
        <w:pStyle w:val="ListParagraph"/>
        <w:spacing w:lineRule="auto" w:line="360" w:before="240" w:after="0"/>
        <w:ind w:left="993" w:right="0" w:hanging="284"/>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 działalnością odpłatną pożytku publicznego:</w:t>
      </w:r>
    </w:p>
    <w:p>
      <w:pPr>
        <w:pStyle w:val="ListParagraph"/>
        <w:numPr>
          <w:ilvl w:val="0"/>
          <w:numId w:val="6"/>
        </w:numPr>
        <w:spacing w:lineRule="auto" w:line="360" w:before="240" w:after="0"/>
        <w:contextualSpacing/>
        <w:jc w:val="both"/>
        <w:rPr>
          <w:rFonts w:cs="Times New Roman" w:ascii="Times New Roman" w:hAnsi="Times New Roman"/>
          <w:bCs/>
        </w:rPr>
      </w:pPr>
      <w:r>
        <w:rPr>
          <w:rFonts w:cs="Times New Roman" w:ascii="Times New Roman" w:hAnsi="Times New Roman"/>
          <w:bCs/>
        </w:rPr>
        <w:t>domknięcie katalogu usług, które mogą być sprzedawane, wytwarzane lub świadczone w ramach prowadzonej przez organizację działalności odpłatnej po</w:t>
      </w:r>
      <w:r>
        <w:rPr>
          <w:rFonts w:cs="Times New Roman" w:ascii="Times New Roman" w:hAnsi="Times New Roman"/>
          <w:bCs/>
        </w:rPr>
        <w:t>ż</w:t>
      </w:r>
      <w:r>
        <w:rPr>
          <w:rFonts w:cs="Times New Roman" w:ascii="Times New Roman" w:hAnsi="Times New Roman"/>
          <w:bCs/>
        </w:rPr>
        <w:t>yt</w:t>
      </w:r>
      <w:r>
        <w:rPr>
          <w:rFonts w:cs="Times New Roman" w:ascii="Times New Roman" w:hAnsi="Times New Roman"/>
          <w:bCs/>
        </w:rPr>
        <w:t>k</w:t>
      </w:r>
      <w:r>
        <w:rPr>
          <w:rFonts w:cs="Times New Roman" w:ascii="Times New Roman" w:hAnsi="Times New Roman"/>
          <w:bCs/>
        </w:rPr>
        <w:t>u publicznego;</w:t>
      </w:r>
    </w:p>
    <w:p>
      <w:pPr>
        <w:pStyle w:val="ListParagraph"/>
        <w:numPr>
          <w:ilvl w:val="0"/>
          <w:numId w:val="6"/>
        </w:numPr>
        <w:spacing w:lineRule="auto" w:line="360" w:before="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przesądzono, że limit wynagrodzenia z tytułu zatrudnienia przy wykonywaniu statutowej działalności odpłatnej pożytku publicznego należy odnosić do ostatniego roku obrotowego, a w przypadku zatrudnienia trwającego krócej niż rok obrotowy do okresu tego zatrudnienia;</w:t>
      </w:r>
    </w:p>
    <w:p>
      <w:pPr>
        <w:pStyle w:val="ListParagraph"/>
        <w:spacing w:lineRule="auto" w:line="360" w:before="0" w:after="0"/>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 dialogiem obywatelskim:</w:t>
      </w:r>
    </w:p>
    <w:p>
      <w:pPr>
        <w:pStyle w:val="ListParagraph"/>
        <w:numPr>
          <w:ilvl w:val="0"/>
          <w:numId w:val="7"/>
        </w:numPr>
        <w:spacing w:lineRule="auto" w:line="360" w:before="240" w:after="0"/>
        <w:contextualSpacing/>
        <w:jc w:val="both"/>
        <w:rPr>
          <w:rFonts w:cs="Times New Roman" w:ascii="Times New Roman" w:hAnsi="Times New Roman"/>
        </w:rPr>
      </w:pPr>
      <w:r>
        <w:rPr>
          <w:rFonts w:cs="Times New Roman" w:ascii="Times New Roman" w:hAnsi="Times New Roman"/>
        </w:rPr>
        <w:t>zniesienie ograniczenia zasiadania w RDPP przez dłużej niż dwie kadencje;</w:t>
      </w:r>
    </w:p>
    <w:p>
      <w:pPr>
        <w:pStyle w:val="ListParagraph"/>
        <w:numPr>
          <w:ilvl w:val="0"/>
          <w:numId w:val="7"/>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lang w:eastAsia="pl-PL"/>
        </w:rPr>
        <w:t>wprowadzenie możliwości bardziej elastycznego kształtowania składu osobowego RDPP, w tym zasiadania w składzie Rady większej niż dotychczas liczby przedstawicieli 3 sektora</w:t>
      </w:r>
    </w:p>
    <w:p>
      <w:pPr>
        <w:pStyle w:val="ListParagraph"/>
        <w:numPr>
          <w:ilvl w:val="0"/>
          <w:numId w:val="7"/>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lang w:eastAsia="pl-PL"/>
        </w:rPr>
        <w:t>obligatoryjne tworzenie przez marszałka województwa/organ wykonawczy gminy/powiatu RDPP w przypadku złożenia wniosku co najmniej 50/10 organizacji pozarządowych (oraz podmiotów zrównanych), prowadzących działalność na terenie tej jst;</w:t>
      </w:r>
    </w:p>
    <w:p>
      <w:pPr>
        <w:pStyle w:val="ListParagraph"/>
        <w:numPr>
          <w:ilvl w:val="0"/>
          <w:numId w:val="7"/>
        </w:numPr>
        <w:spacing w:lineRule="auto" w:line="360" w:before="240" w:after="0"/>
        <w:contextualSpacing/>
        <w:jc w:val="both"/>
        <w:rPr>
          <w:rFonts w:eastAsia="Times New Roman" w:cs="Times New Roman" w:ascii="Times New Roman" w:hAnsi="Times New Roman"/>
          <w:lang w:eastAsia="pl-PL"/>
        </w:rPr>
      </w:pPr>
      <w:r>
        <w:rPr>
          <w:rFonts w:eastAsia="Times New Roman" w:cs="Times New Roman" w:ascii="Times New Roman" w:hAnsi="Times New Roman"/>
          <w:lang w:eastAsia="pl-PL"/>
        </w:rPr>
        <w:t>przyznanie powiatowej lub gminnej RDPP uprawnienie do ograniczenia ustawowego zakresu spraw podlegających jej opiniowaniu;</w:t>
      </w:r>
    </w:p>
    <w:p>
      <w:pPr>
        <w:pStyle w:val="ListParagraph"/>
        <w:spacing w:lineRule="auto" w:line="360" w:before="240" w:after="0"/>
        <w:contextualSpacing/>
        <w:jc w:val="both"/>
        <w:rPr/>
      </w:pPr>
      <w:r>
        <w:rPr/>
      </w:r>
    </w:p>
    <w:p>
      <w:pPr>
        <w:pStyle w:val="ListParagraph"/>
        <w:numPr>
          <w:ilvl w:val="0"/>
          <w:numId w:val="2"/>
        </w:numPr>
        <w:spacing w:lineRule="auto" w:line="360" w:before="240" w:after="0"/>
        <w:ind w:left="284" w:right="0" w:hanging="284"/>
        <w:contextualSpacing/>
        <w:jc w:val="both"/>
        <w:rPr>
          <w:rFonts w:cs="Times New Roman" w:ascii="Times New Roman" w:hAnsi="Times New Roman"/>
          <w:b/>
          <w:bCs/>
        </w:rPr>
      </w:pPr>
      <w:r>
        <w:rPr>
          <w:rFonts w:cs="Times New Roman" w:ascii="Times New Roman" w:hAnsi="Times New Roman"/>
          <w:b/>
          <w:bCs/>
        </w:rPr>
        <w:t>z definicją organizacji pozarządowej:</w:t>
      </w:r>
    </w:p>
    <w:p>
      <w:pPr>
        <w:pStyle w:val="ListParagraph"/>
        <w:numPr>
          <w:ilvl w:val="0"/>
          <w:numId w:val="1"/>
        </w:numPr>
        <w:spacing w:lineRule="auto" w:line="360" w:before="240" w:after="0"/>
        <w:contextualSpacing/>
        <w:jc w:val="both"/>
        <w:rPr>
          <w:rFonts w:eastAsia="Times New Roman" w:cs="Times New Roman" w:ascii="Times New Roman" w:hAnsi="Times New Roman"/>
          <w:bCs/>
          <w:lang w:eastAsia="pl-PL"/>
        </w:rPr>
      </w:pPr>
      <w:r>
        <w:rPr>
          <w:rFonts w:eastAsia="Times New Roman" w:cs="Times New Roman" w:ascii="Times New Roman" w:hAnsi="Times New Roman"/>
          <w:bCs/>
          <w:lang w:eastAsia="pl-PL"/>
        </w:rPr>
        <w:t>z jej zakresu przedmiotowego wyłączono przedsiębiorstwa, instytuty badawcze, banki i spółki prawa handlowego będące państwowymi lub samorządowymi osobami prawnymi utworzonymi na podstawie odrębnych ustaw w celu wykonywania zadań publicznych.</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 w:name="Wingdings">
    <w:charset w:val="02"/>
    <w:family w:val="auto"/>
    <w:pitch w:val="default"/>
  </w:font>
  <w:font w:name="Courier New">
    <w:charset w:val="01"/>
    <w:family w:val="modern"/>
    <w:pitch w:val="fixed"/>
  </w:font>
  <w:font w:name="Symbol">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2">
    <w:lvl w:ilvl="0">
      <w:start w:val="1"/>
      <w:numFmt w:val="decimal"/>
      <w:lvlText w:val="%1."/>
      <w:lvlJc w:val="left"/>
      <w:pPr>
        <w:ind w:left="1151" w:hanging="360"/>
      </w:pPr>
    </w:lvl>
    <w:lvl w:ilvl="1">
      <w:start w:val="1"/>
      <w:numFmt w:val="lowerLetter"/>
      <w:lvlText w:val="%2."/>
      <w:lvlJc w:val="left"/>
      <w:pPr>
        <w:ind w:left="1871" w:hanging="360"/>
      </w:pPr>
    </w:lvl>
    <w:lvl w:ilvl="2">
      <w:start w:val="1"/>
      <w:numFmt w:val="lowerRoman"/>
      <w:lvlText w:val="%3."/>
      <w:lvlJc w:val="right"/>
      <w:pPr>
        <w:ind w:left="2591" w:hanging="180"/>
      </w:pPr>
    </w:lvl>
    <w:lvl w:ilvl="3">
      <w:start w:val="1"/>
      <w:numFmt w:val="decimal"/>
      <w:lvlText w:val="%4."/>
      <w:lvlJc w:val="left"/>
      <w:pPr>
        <w:ind w:left="3311" w:hanging="360"/>
      </w:pPr>
    </w:lvl>
    <w:lvl w:ilvl="4">
      <w:start w:val="1"/>
      <w:numFmt w:val="lowerLetter"/>
      <w:lvlText w:val="%5."/>
      <w:lvlJc w:val="left"/>
      <w:pPr>
        <w:ind w:left="4031" w:hanging="360"/>
      </w:pPr>
    </w:lvl>
    <w:lvl w:ilvl="5">
      <w:start w:val="1"/>
      <w:numFmt w:val="lowerRoman"/>
      <w:lvlText w:val="%6."/>
      <w:lvlJc w:val="right"/>
      <w:pPr>
        <w:ind w:left="4751" w:hanging="180"/>
      </w:pPr>
    </w:lvl>
    <w:lvl w:ilvl="6">
      <w:start w:val="1"/>
      <w:numFmt w:val="decimal"/>
      <w:lvlText w:val="%7."/>
      <w:lvlJc w:val="left"/>
      <w:pPr>
        <w:ind w:left="5471" w:hanging="360"/>
      </w:pPr>
    </w:lvl>
    <w:lvl w:ilvl="7">
      <w:start w:val="1"/>
      <w:numFmt w:val="lowerLetter"/>
      <w:lvlText w:val="%8."/>
      <w:lvlJc w:val="left"/>
      <w:pPr>
        <w:ind w:left="6191" w:hanging="360"/>
      </w:pPr>
    </w:lvl>
    <w:lvl w:ilvl="8">
      <w:start w:val="1"/>
      <w:numFmt w:val="lowerRoman"/>
      <w:lvlText w:val="%9."/>
      <w:lvlJc w:val="right"/>
      <w:pPr>
        <w:ind w:left="6911" w:hanging="180"/>
      </w:pPr>
    </w:lvl>
  </w:abstractNum>
  <w:abstractNum w:abstractNumId="3">
    <w:lvl w:ilvl="0">
      <w:start w:val="1"/>
      <w:numFmt w:val="bullet"/>
      <w:lvlText w:val=""/>
      <w:lvlJc w:val="left"/>
      <w:pPr>
        <w:ind w:left="1050" w:hanging="360"/>
      </w:pPr>
      <w:rPr>
        <w:rFonts w:ascii="Wingdings" w:hAnsi="Wingdings" w:cs="Wingdings" w:hint="default"/>
      </w:rPr>
    </w:lvl>
    <w:lvl w:ilvl="1">
      <w:start w:val="1"/>
      <w:numFmt w:val="bullet"/>
      <w:lvlText w:val="o"/>
      <w:lvlJc w:val="left"/>
      <w:pPr>
        <w:ind w:left="1770" w:hanging="360"/>
      </w:pPr>
      <w:rPr>
        <w:rFonts w:ascii="Courier New" w:hAnsi="Courier New" w:cs="Courier New" w:hint="default"/>
      </w:rPr>
    </w:lvl>
    <w:lvl w:ilvl="2">
      <w:start w:val="1"/>
      <w:numFmt w:val="bullet"/>
      <w:lvlText w:val=""/>
      <w:lvlJc w:val="left"/>
      <w:pPr>
        <w:ind w:left="2490" w:hanging="360"/>
      </w:pPr>
      <w:rPr>
        <w:rFonts w:ascii="Wingdings" w:hAnsi="Wingdings" w:cs="Wingdings" w:hint="default"/>
      </w:rPr>
    </w:lvl>
    <w:lvl w:ilvl="3">
      <w:start w:val="1"/>
      <w:numFmt w:val="bullet"/>
      <w:lvlText w:val=""/>
      <w:lvlJc w:val="left"/>
      <w:pPr>
        <w:ind w:left="3210" w:hanging="360"/>
      </w:pPr>
      <w:rPr>
        <w:rFonts w:ascii="Symbol" w:hAnsi="Symbol" w:cs="Symbol" w:hint="default"/>
      </w:rPr>
    </w:lvl>
    <w:lvl w:ilvl="4">
      <w:start w:val="1"/>
      <w:numFmt w:val="bullet"/>
      <w:lvlText w:val="o"/>
      <w:lvlJc w:val="left"/>
      <w:pPr>
        <w:ind w:left="3930" w:hanging="360"/>
      </w:pPr>
      <w:rPr>
        <w:rFonts w:ascii="Courier New" w:hAnsi="Courier New" w:cs="Courier New" w:hint="default"/>
      </w:rPr>
    </w:lvl>
    <w:lvl w:ilvl="5">
      <w:start w:val="1"/>
      <w:numFmt w:val="bullet"/>
      <w:lvlText w:val=""/>
      <w:lvlJc w:val="left"/>
      <w:pPr>
        <w:ind w:left="4650" w:hanging="360"/>
      </w:pPr>
      <w:rPr>
        <w:rFonts w:ascii="Wingdings" w:hAnsi="Wingdings" w:cs="Wingdings" w:hint="default"/>
      </w:rPr>
    </w:lvl>
    <w:lvl w:ilvl="6">
      <w:start w:val="1"/>
      <w:numFmt w:val="bullet"/>
      <w:lvlText w:val=""/>
      <w:lvlJc w:val="left"/>
      <w:pPr>
        <w:ind w:left="5370" w:hanging="360"/>
      </w:pPr>
      <w:rPr>
        <w:rFonts w:ascii="Symbol" w:hAnsi="Symbol" w:cs="Symbol" w:hint="default"/>
      </w:rPr>
    </w:lvl>
    <w:lvl w:ilvl="7">
      <w:start w:val="1"/>
      <w:numFmt w:val="bullet"/>
      <w:lvlText w:val="o"/>
      <w:lvlJc w:val="left"/>
      <w:pPr>
        <w:ind w:left="6090" w:hanging="360"/>
      </w:pPr>
      <w:rPr>
        <w:rFonts w:ascii="Courier New" w:hAnsi="Courier New" w:cs="Courier New" w:hint="default"/>
      </w:rPr>
    </w:lvl>
    <w:lvl w:ilvl="8">
      <w:start w:val="1"/>
      <w:numFmt w:val="bullet"/>
      <w:lvlText w:val=""/>
      <w:lvlJc w:val="left"/>
      <w:pPr>
        <w:ind w:left="6810" w:hanging="360"/>
      </w:pPr>
      <w:rPr>
        <w:rFonts w:ascii="Wingdings" w:hAnsi="Wingdings" w:cs="Wingdings" w:hint="default"/>
      </w:rPr>
    </w:lvl>
  </w:abstractNum>
  <w:abstractNum w:abstractNumId="4">
    <w:lvl w:ilvl="0">
      <w:start w:val="1"/>
      <w:numFmt w:val="bullet"/>
      <w:lvlText w:val=""/>
      <w:lvlJc w:val="left"/>
      <w:pPr>
        <w:ind w:left="1428" w:hanging="360"/>
      </w:pPr>
      <w:rPr>
        <w:rFonts w:ascii="Wingdings" w:hAnsi="Wingdings" w:cs="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abstractNum w:abstractNumId="5">
    <w:lvl w:ilvl="0">
      <w:start w:val="1"/>
      <w:numFmt w:val="bullet"/>
      <w:lvlText w:val=""/>
      <w:lvlJc w:val="left"/>
      <w:pPr>
        <w:ind w:left="1871" w:hanging="360"/>
      </w:pPr>
      <w:rPr>
        <w:rFonts w:ascii="Wingdings" w:hAnsi="Wingdings" w:cs="Wingdings" w:hint="default"/>
      </w:rPr>
    </w:lvl>
    <w:lvl w:ilvl="1">
      <w:start w:val="1"/>
      <w:numFmt w:val="bullet"/>
      <w:lvlText w:val="o"/>
      <w:lvlJc w:val="left"/>
      <w:pPr>
        <w:ind w:left="2591" w:hanging="360"/>
      </w:pPr>
      <w:rPr>
        <w:rFonts w:ascii="Courier New" w:hAnsi="Courier New" w:cs="Courier New" w:hint="default"/>
      </w:rPr>
    </w:lvl>
    <w:lvl w:ilvl="2">
      <w:start w:val="1"/>
      <w:numFmt w:val="bullet"/>
      <w:lvlText w:val=""/>
      <w:lvlJc w:val="left"/>
      <w:pPr>
        <w:ind w:left="3311" w:hanging="360"/>
      </w:pPr>
      <w:rPr>
        <w:rFonts w:ascii="Wingdings" w:hAnsi="Wingdings" w:cs="Wingdings" w:hint="default"/>
      </w:rPr>
    </w:lvl>
    <w:lvl w:ilvl="3">
      <w:start w:val="1"/>
      <w:numFmt w:val="bullet"/>
      <w:lvlText w:val=""/>
      <w:lvlJc w:val="left"/>
      <w:pPr>
        <w:ind w:left="4031" w:hanging="360"/>
      </w:pPr>
      <w:rPr>
        <w:rFonts w:ascii="Symbol" w:hAnsi="Symbol" w:cs="Symbol" w:hint="default"/>
      </w:rPr>
    </w:lvl>
    <w:lvl w:ilvl="4">
      <w:start w:val="1"/>
      <w:numFmt w:val="bullet"/>
      <w:lvlText w:val="o"/>
      <w:lvlJc w:val="left"/>
      <w:pPr>
        <w:ind w:left="4751" w:hanging="360"/>
      </w:pPr>
      <w:rPr>
        <w:rFonts w:ascii="Courier New" w:hAnsi="Courier New" w:cs="Courier New" w:hint="default"/>
      </w:rPr>
    </w:lvl>
    <w:lvl w:ilvl="5">
      <w:start w:val="1"/>
      <w:numFmt w:val="bullet"/>
      <w:lvlText w:val=""/>
      <w:lvlJc w:val="left"/>
      <w:pPr>
        <w:ind w:left="5471" w:hanging="360"/>
      </w:pPr>
      <w:rPr>
        <w:rFonts w:ascii="Wingdings" w:hAnsi="Wingdings" w:cs="Wingdings" w:hint="default"/>
      </w:rPr>
    </w:lvl>
    <w:lvl w:ilvl="6">
      <w:start w:val="1"/>
      <w:numFmt w:val="bullet"/>
      <w:lvlText w:val=""/>
      <w:lvlJc w:val="left"/>
      <w:pPr>
        <w:ind w:left="6191" w:hanging="360"/>
      </w:pPr>
      <w:rPr>
        <w:rFonts w:ascii="Symbol" w:hAnsi="Symbol" w:cs="Symbol" w:hint="default"/>
      </w:rPr>
    </w:lvl>
    <w:lvl w:ilvl="7">
      <w:start w:val="1"/>
      <w:numFmt w:val="bullet"/>
      <w:lvlText w:val="o"/>
      <w:lvlJc w:val="left"/>
      <w:pPr>
        <w:ind w:left="6911" w:hanging="360"/>
      </w:pPr>
      <w:rPr>
        <w:rFonts w:ascii="Courier New" w:hAnsi="Courier New" w:cs="Courier New" w:hint="default"/>
      </w:rPr>
    </w:lvl>
    <w:lvl w:ilvl="8">
      <w:start w:val="1"/>
      <w:numFmt w:val="bullet"/>
      <w:lvlText w:val=""/>
      <w:lvlJc w:val="left"/>
      <w:pPr>
        <w:ind w:left="7631" w:hanging="360"/>
      </w:pPr>
      <w:rPr>
        <w:rFonts w:ascii="Wingdings" w:hAnsi="Wingdings" w:cs="Wingdings" w:hint="default"/>
      </w:rPr>
    </w:lvl>
  </w:abstractNum>
  <w:abstractNum w:abstractNumId="6">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7">
    <w:lvl w:ilvl="0">
      <w:start w:val="1"/>
      <w:numFmt w:val="bullet"/>
      <w:lvlText w:val=""/>
      <w:lvlJc w:val="left"/>
      <w:pPr>
        <w:ind w:left="1004" w:hanging="360"/>
      </w:pPr>
      <w:rPr>
        <w:rFonts w:ascii="Wingdings" w:hAnsi="Wingdings" w:cs="Wingdings"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pl-PL"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Fallback" w:cs="FreeSans"/>
      <w:color w:val="auto"/>
      <w:sz w:val="24"/>
      <w:szCs w:val="24"/>
      <w:lang w:val="pl-PL" w:eastAsia="zh-CN" w:bidi="hi-IN"/>
    </w:rPr>
  </w:style>
  <w:style w:type="character" w:styleId="ListLabel1">
    <w:name w:val="ListLabel 1"/>
    <w:rPr>
      <w:rFonts w:cs="Courier New"/>
    </w:rPr>
  </w:style>
  <w:style w:type="paragraph" w:styleId="Nagwek">
    <w:name w:val="Nagłówek"/>
    <w:basedOn w:val="Normal"/>
    <w:next w:val="Tretekstu"/>
    <w:pPr>
      <w:keepNext/>
      <w:spacing w:before="240" w:after="120"/>
    </w:pPr>
    <w:rPr>
      <w:rFonts w:ascii="Liberation Sans" w:hAnsi="Liberation Sans" w:eastAsia="Droid Sans Fallback" w:cs="FreeSans"/>
      <w:sz w:val="28"/>
      <w:szCs w:val="28"/>
    </w:rPr>
  </w:style>
  <w:style w:type="paragraph" w:styleId="Tretekstu">
    <w:name w:val="Treść tekstu"/>
    <w:basedOn w:val="Normal"/>
    <w:pPr>
      <w:spacing w:lineRule="auto" w:line="288" w:before="0" w:after="140"/>
    </w:pPr>
    <w:rPr/>
  </w:style>
  <w:style w:type="paragraph" w:styleId="Lista">
    <w:name w:val="Lista"/>
    <w:basedOn w:val="Tretekstu"/>
    <w:pPr/>
    <w:rPr>
      <w:rFonts w:cs="FreeSans"/>
    </w:rPr>
  </w:style>
  <w:style w:type="paragraph" w:styleId="Podpis">
    <w:name w:val="Podpis"/>
    <w:basedOn w:val="Normal"/>
    <w:pPr>
      <w:suppressLineNumbers/>
      <w:spacing w:before="120" w:after="120"/>
    </w:pPr>
    <w:rPr>
      <w:rFonts w:cs="FreeSans"/>
      <w:i/>
      <w:iCs/>
      <w:sz w:val="24"/>
      <w:szCs w:val="24"/>
    </w:rPr>
  </w:style>
  <w:style w:type="paragraph" w:styleId="Indeks">
    <w:name w:val="Indeks"/>
    <w:basedOn w:val="Normal"/>
    <w:pPr>
      <w:suppressLineNumbers/>
    </w:pPr>
    <w:rPr>
      <w:rFonts w:cs="FreeSans"/>
    </w:rPr>
  </w:style>
  <w:style w:type="paragraph" w:styleId="ListParagraph">
    <w:name w:val="List Paragraph"/>
    <w:basedOn w:val="Normal"/>
    <w:pPr>
      <w:spacing w:before="0" w:after="200"/>
      <w:ind w:left="720" w:right="0" w:hanging="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2014-10-09T16:23:57Z</dcterms:created>
  <dc:language>pl-PL</dc:language>
  <cp:revision>0</cp:revision>
</cp:coreProperties>
</file>