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8890438079834" w:lineRule="auto"/>
        <w:ind w:left="20.55999755859375" w:right="788.80859375" w:firstLine="0.9600067138671875"/>
        <w:jc w:val="both"/>
        <w:rPr>
          <w:rFonts w:ascii="Inter Tight" w:cs="Inter Tight" w:eastAsia="Inter Tight" w:hAnsi="Inter Tight"/>
          <w:b w:val="1"/>
          <w:bCs w:val="1"/>
          <w:sz w:val="32"/>
          <w:szCs w:val="32"/>
          <w:highlight w:val="white"/>
        </w:rPr>
      </w:pPr>
      <w:r w:rsidDel="00000000" w:rsidR="00000000" w:rsidRPr="00000000">
        <w:rPr>
          <w:rFonts w:ascii="Inter Tight ExtraBold" w:cs="Inter Tight ExtraBold" w:eastAsia="Inter Tight ExtraBold" w:hAnsi="Inter Tight ExtraBold"/>
          <w:sz w:val="32"/>
          <w:szCs w:val="32"/>
          <w:rtl w:val="0"/>
        </w:rPr>
        <w:t xml:space="preserve">Narzędzia i aplikacje przydatne w promocji (i nie tylko)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8890438079834" w:lineRule="auto"/>
        <w:ind w:left="20.55999755859375" w:right="788.80859375" w:firstLine="0.9600067138671875"/>
        <w:jc w:val="both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</w:rPr>
        <w:drawing>
          <wp:inline distB="114300" distT="114300" distL="114300" distR="114300">
            <wp:extent cx="1514070" cy="50211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4070" cy="5021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.9090576171875" w:line="275.89001655578613" w:lineRule="auto"/>
        <w:ind w:left="0" w:right="1267.462158203125" w:firstLine="0"/>
        <w:jc w:val="both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spacing w:after="320" w:before="0" w:lineRule="auto"/>
        <w:rPr>
          <w:rFonts w:ascii="Inter" w:cs="Inter" w:eastAsia="Inter" w:hAnsi="Inter"/>
          <w:i w:val="0"/>
          <w:iCs w:val="0"/>
          <w:color w:val="000000"/>
          <w:sz w:val="24"/>
          <w:szCs w:val="24"/>
        </w:rPr>
      </w:pPr>
      <w:bookmarkStart w:colFirst="0" w:colLast="0" w:name="_ndpwp1qrq4j3" w:id="0"/>
      <w:bookmarkEnd w:id="0"/>
      <w:r w:rsidDel="00000000" w:rsidR="00000000" w:rsidRPr="00000000">
        <w:rPr>
          <w:rFonts w:ascii="Inter" w:cs="Inter" w:eastAsia="Inter" w:hAnsi="Inter"/>
          <w:i w:val="0"/>
          <w:iCs w:val="0"/>
          <w:color w:val="000000"/>
          <w:sz w:val="24"/>
          <w:szCs w:val="24"/>
          <w:rtl w:val="0"/>
        </w:rPr>
        <w:t xml:space="preserve">Poniżej przedstawiamy listę aplikacji i narzędzi, które dobrze sprawdzają się w pracy organizacji społecznych. Zdecydowana większość z nich może być używana bezpłatnie lub ze znaczną zniżką.</w:t>
      </w:r>
    </w:p>
    <w:p w:rsidR="00000000" w:rsidDel="00000000" w:rsidP="00000000" w:rsidRDefault="00000000" w:rsidRPr="00000000" w14:paraId="00000005">
      <w:pPr>
        <w:pStyle w:val="Heading2"/>
        <w:rPr>
          <w:sz w:val="24"/>
          <w:szCs w:val="24"/>
        </w:rPr>
      </w:pPr>
      <w:bookmarkStart w:colFirst="0" w:colLast="0" w:name="_z8cm2ke73umo" w:id="1"/>
      <w:bookmarkEnd w:id="1"/>
      <w:r w:rsidDel="00000000" w:rsidR="00000000" w:rsidRPr="00000000">
        <w:rPr>
          <w:sz w:val="24"/>
          <w:szCs w:val="24"/>
          <w:rtl w:val="0"/>
        </w:rPr>
        <w:t xml:space="preserve">Pakiety i aplikacje biurowe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ind w:left="720" w:hanging="360"/>
        <w:rPr/>
      </w:pPr>
      <w:hyperlink r:id="rId7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Google Workspace dla organizacji non-profit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chmurowy pakiet narzędzi biurowych oferujący m.in. Gmail z własną domeną, 100 TB przestrzeni na Dysku oraz Google Meet.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  <w:rPr/>
      </w:pPr>
      <w:hyperlink r:id="rId8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Microsoft 365 dla organizacji non-profit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zestaw tradycyjnych programów biurowych w wersji chmurowej (Word, Excel, Outlook, Teams) z 1 TB przestrzeni w OneDrive i pocztą we własnej domenie.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  <w:rPr/>
      </w:pPr>
      <w:hyperlink r:id="rId9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LibreOffice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całkowicie bezpłatny pakiet biurowy typu open source (offline), zawierający edytor tekstu, arkusze kalkulacyjne i prezentacje.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rPr/>
      </w:pPr>
      <w:hyperlink r:id="rId10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Autenti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polska platforma do bezpiecznego, cyfrowego podpisywania umów i dokumentów (e-podpis) online, usprawniająca formalności bez konieczności drukowania papieru.</w:t>
      </w:r>
    </w:p>
    <w:p w:rsidR="00000000" w:rsidDel="00000000" w:rsidP="00000000" w:rsidRDefault="00000000" w:rsidRPr="00000000" w14:paraId="0000000A">
      <w:pPr>
        <w:pStyle w:val="Heading2"/>
        <w:spacing w:after="120" w:lineRule="auto"/>
        <w:rPr>
          <w:rFonts w:ascii="Inter ExtraBold" w:cs="Inter ExtraBold" w:eastAsia="Inter ExtraBold" w:hAnsi="Inter ExtraBold"/>
          <w:b w:val="0"/>
          <w:bCs w:val="0"/>
          <w:sz w:val="24"/>
          <w:szCs w:val="24"/>
        </w:rPr>
      </w:pPr>
      <w:bookmarkStart w:colFirst="0" w:colLast="0" w:name="_bccu8d70tnvy" w:id="2"/>
      <w:bookmarkEnd w:id="2"/>
      <w:r w:rsidDel="00000000" w:rsidR="00000000" w:rsidRPr="00000000">
        <w:rPr>
          <w:rFonts w:ascii="Inter ExtraBold" w:cs="Inter ExtraBold" w:eastAsia="Inter ExtraBold" w:hAnsi="Inter ExtraBold"/>
          <w:b w:val="0"/>
          <w:bCs w:val="0"/>
          <w:sz w:val="24"/>
          <w:szCs w:val="24"/>
          <w:rtl w:val="0"/>
        </w:rPr>
        <w:t xml:space="preserve">Komunikacja i współpraca w zespole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  <w:rPr/>
      </w:pPr>
      <w:hyperlink r:id="rId11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Slack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popularny komunikator zespołowy, oferujący organizacjom pozarządowym (do 250 osób) bezpłatny dostęp do planu Pro z nielimitowaną historią wiadomości.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/>
      </w:pPr>
      <w:hyperlink r:id="rId12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Microsoft Teams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platforma do wideokonferencji, czatów i współdzielenia plików, dostępna bezpłatnie w ramach pakietu Microsoft 365 Business Basic dla NGO.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/>
      </w:pPr>
      <w:hyperlink r:id="rId13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Zoom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popularne narzędzie do wideokonferencji (w wersji darmowej do 100 osób i 40 minut spotkania, z możliwością uzyskania 50% zniżki na wyższe plany).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/>
      </w:pPr>
      <w:hyperlink r:id="rId14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Jitsi Meet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w pełni darmowa, otwarta platforma do wideo-spotkań, która nie wymaga rejestracji ani instalacji (działa w przeglądarce).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rPr/>
      </w:pPr>
      <w:hyperlink r:id="rId15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Notion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niezwykle elastyczna platforma do tworzenia wewnętrznych baz wiedzy, dokumentacji i zarządzania projektami; organizacje non-profit mogą ubiegać się o darmowy wyższy plan (Plus) lub 50% zniżki na plan Enterprise.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  <w:rPr/>
      </w:pPr>
      <w:hyperlink r:id="rId16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Miro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wirtualna tablica do pracy zespołowej i burzy mózgów w czasie rzeczywistym, ułatwiająca mapowanie procesów; oferuje darmowy plan 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podstawowy oraz specjalne, bezpłatne pakiety funkcji zaawansowanych dla kwalifikujących się organizacji NGO.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rPr/>
      </w:pPr>
      <w:hyperlink r:id="rId17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Mural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interaktywna tablica online do kreatywnej pracy zespołowej i burzy mózgów w czasie rzeczywistym; oferuje darmowy plan podstawowy oraz specjalne, bezpłatne pakiety dla organizacji edukacyjnych i non-profit.</w:t>
      </w:r>
    </w:p>
    <w:p w:rsidR="00000000" w:rsidDel="00000000" w:rsidP="00000000" w:rsidRDefault="00000000" w:rsidRPr="00000000" w14:paraId="00000013">
      <w:pPr>
        <w:pStyle w:val="Heading2"/>
        <w:spacing w:after="120" w:lineRule="auto"/>
        <w:rPr>
          <w:rFonts w:ascii="Inter ExtraBold" w:cs="Inter ExtraBold" w:eastAsia="Inter ExtraBold" w:hAnsi="Inter ExtraBold"/>
          <w:b w:val="0"/>
          <w:bCs w:val="0"/>
          <w:sz w:val="24"/>
          <w:szCs w:val="24"/>
        </w:rPr>
      </w:pPr>
      <w:bookmarkStart w:colFirst="0" w:colLast="0" w:name="_yopug76d5vxd" w:id="3"/>
      <w:bookmarkEnd w:id="3"/>
      <w:r w:rsidDel="00000000" w:rsidR="00000000" w:rsidRPr="00000000">
        <w:rPr>
          <w:rFonts w:ascii="Inter ExtraBold" w:cs="Inter ExtraBold" w:eastAsia="Inter ExtraBold" w:hAnsi="Inter ExtraBold"/>
          <w:b w:val="0"/>
          <w:bCs w:val="0"/>
          <w:sz w:val="24"/>
          <w:szCs w:val="24"/>
          <w:rtl w:val="0"/>
        </w:rPr>
        <w:t xml:space="preserve">Zarządzanie zadaniami i projektami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  <w:rPr/>
      </w:pPr>
      <w:hyperlink r:id="rId18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Asana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intuicyjne narzędzie do zarządzania projektami, darmowe dla małych zespołów, z opcją 50% zniżki na rozbudowane plany dla NGO.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360"/>
        <w:rPr/>
      </w:pPr>
      <w:hyperlink r:id="rId19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Trello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proste narzędzie oparte na systemie tablic i kart, oferujące bezpłatny plan podstawowy oraz do 75% zniżki na wersje Standard i Premium.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/>
      </w:pPr>
      <w:hyperlink r:id="rId20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Nozbe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polska aplikacja do zarządzania zadaniami i komunikacji; oferuje darmową wersję dla mikro-zespołów oraz preferencyjne warunki (np. 6 miesięcy gratis przy zakupie roku) na plan Premium.</w:t>
      </w:r>
    </w:p>
    <w:p w:rsidR="00000000" w:rsidDel="00000000" w:rsidP="00000000" w:rsidRDefault="00000000" w:rsidRPr="00000000" w14:paraId="00000017">
      <w:pPr>
        <w:pStyle w:val="Heading2"/>
        <w:spacing w:after="120" w:lineRule="auto"/>
        <w:rPr>
          <w:rFonts w:ascii="Inter ExtraBold" w:cs="Inter ExtraBold" w:eastAsia="Inter ExtraBold" w:hAnsi="Inter ExtraBold"/>
          <w:b w:val="0"/>
          <w:bCs w:val="0"/>
          <w:sz w:val="24"/>
          <w:szCs w:val="24"/>
        </w:rPr>
      </w:pPr>
      <w:bookmarkStart w:colFirst="0" w:colLast="0" w:name="_6zl17prz6tsw" w:id="4"/>
      <w:bookmarkEnd w:id="4"/>
      <w:r w:rsidDel="00000000" w:rsidR="00000000" w:rsidRPr="00000000">
        <w:rPr>
          <w:rFonts w:ascii="Inter ExtraBold" w:cs="Inter ExtraBold" w:eastAsia="Inter ExtraBold" w:hAnsi="Inter ExtraBold"/>
          <w:b w:val="0"/>
          <w:bCs w:val="0"/>
          <w:sz w:val="24"/>
          <w:szCs w:val="24"/>
          <w:rtl w:val="0"/>
        </w:rPr>
        <w:t xml:space="preserve">E-mail marketing i automatyzacja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/>
      </w:pPr>
      <w:hyperlink r:id="rId21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MailerLite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intuicyjne narzędzie do e-mail marketingu i automatyzacji wysyłek, oferujące bezpłatny plan podstawowy dla małych baz oraz 30% zniżki dla organizacji non-profit na plany zaawansowane.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/>
      </w:pPr>
      <w:hyperlink r:id="rId22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GetResponse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kompleksowa polska platforma do wysyłki newsletterów, automatyzacji marketingu oraz tworzenia stron lądowania, zapewniająca organizacjom pozarządowym do 50% zniżki na pakiety płatne.</w:t>
      </w:r>
    </w:p>
    <w:p w:rsidR="00000000" w:rsidDel="00000000" w:rsidP="00000000" w:rsidRDefault="00000000" w:rsidRPr="00000000" w14:paraId="0000001A">
      <w:pPr>
        <w:pStyle w:val="Heading2"/>
        <w:spacing w:after="120" w:lineRule="auto"/>
        <w:rPr>
          <w:rFonts w:ascii="Inter ExtraBold" w:cs="Inter ExtraBold" w:eastAsia="Inter ExtraBold" w:hAnsi="Inter ExtraBold"/>
          <w:b w:val="0"/>
          <w:bCs w:val="0"/>
          <w:sz w:val="24"/>
          <w:szCs w:val="24"/>
        </w:rPr>
      </w:pPr>
      <w:bookmarkStart w:colFirst="0" w:colLast="0" w:name="_ja9y9phsbzfn" w:id="5"/>
      <w:bookmarkEnd w:id="5"/>
      <w:r w:rsidDel="00000000" w:rsidR="00000000" w:rsidRPr="00000000">
        <w:rPr>
          <w:rFonts w:ascii="Inter ExtraBold" w:cs="Inter ExtraBold" w:eastAsia="Inter ExtraBold" w:hAnsi="Inter ExtraBold"/>
          <w:b w:val="0"/>
          <w:bCs w:val="0"/>
          <w:sz w:val="24"/>
          <w:szCs w:val="24"/>
          <w:rtl w:val="0"/>
        </w:rPr>
        <w:t xml:space="preserve">Tworzenie treści i multimedia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/>
      </w:pPr>
      <w:hyperlink r:id="rId23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Canva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intuicyjny program graficzny online do szybkiego tworzenia materiałów promocyjnych, prezentacji i postów do social mediów; </w:t>
      </w:r>
      <w:hyperlink r:id="rId24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program „Canva dla NGO”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umożliwia bezpłatne korzystanie z wersji Pro dla zespołów do 10 osób.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/>
      </w:pPr>
      <w:hyperlink r:id="rId25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DaVinci Resolve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potężne, bezpłatne w wersji podstawowej narzędzie do profesjonalnego montażu wideo, efektów wizualnych i postprodukcji dźwięku, idealne do samodzielnego tworzenia materiałów promocyjnych.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/>
      </w:pPr>
      <w:hyperlink r:id="rId26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Affinity Studio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profesjonalny i bezpłatny program do projektowania grafiki, edycji zdjęć i składu publikacji, stanowiący alternatywę dla droższych pakietów subskrypcyjnych (od niedawna własność Canva)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/>
      </w:pPr>
      <w:hyperlink r:id="rId27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Elevenlabs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zaawansowane narzędzie audio oparte na sztucznej inteligencji, pozwalające na generowanie naturalnie brzmiącej mowy z tekstu oraz klonowanie głosu; oferuje darmowy pakiet podstawowy z miesięcznym limitem znaków dla organizacji społecznych.</w:t>
      </w:r>
    </w:p>
    <w:p w:rsidR="00000000" w:rsidDel="00000000" w:rsidP="00000000" w:rsidRDefault="00000000" w:rsidRPr="00000000" w14:paraId="0000001F">
      <w:pPr>
        <w:pStyle w:val="Heading2"/>
        <w:spacing w:after="120" w:lineRule="auto"/>
        <w:rPr>
          <w:rFonts w:ascii="Inter ExtraBold" w:cs="Inter ExtraBold" w:eastAsia="Inter ExtraBold" w:hAnsi="Inter ExtraBold"/>
          <w:b w:val="0"/>
          <w:bCs w:val="0"/>
          <w:sz w:val="24"/>
          <w:szCs w:val="24"/>
        </w:rPr>
      </w:pPr>
      <w:bookmarkStart w:colFirst="0" w:colLast="0" w:name="_z84cltwew5t5" w:id="6"/>
      <w:bookmarkEnd w:id="6"/>
      <w:r w:rsidDel="00000000" w:rsidR="00000000" w:rsidRPr="00000000">
        <w:rPr>
          <w:rFonts w:ascii="Inter ExtraBold" w:cs="Inter ExtraBold" w:eastAsia="Inter ExtraBold" w:hAnsi="Inter ExtraBold"/>
          <w:b w:val="0"/>
          <w:bCs w:val="0"/>
          <w:sz w:val="24"/>
          <w:szCs w:val="24"/>
          <w:rtl w:val="0"/>
        </w:rPr>
        <w:t xml:space="preserve">Zarządzanie danymi i formularze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/>
      </w:pPr>
      <w:hyperlink r:id="rId28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Typeform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platforma do tworzenia wysoce estetycznych, interaktywnych ankiet i formularzy online, które angażują użytkowników; udostępnia ograniczoną wersję darmową oraz zniżki dla NGO po indywidualnej weryfikacji.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/>
      </w:pPr>
      <w:hyperlink r:id="rId29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Airtable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elastyczna platforma łącząca cechy bazy danych i arkusza kalkulacyjnego, idealna do zaawansowanego zarządzania zasobami i procesami; oferuje darmowy plan dla małych zespołów oraz 50% zniżki na wyższe pakiety dla organizacji non-profit.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/>
      </w:pPr>
      <w:hyperlink r:id="rId30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DataWrapper</w:t>
        </w:r>
      </w:hyperlink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 oraz </w:t>
      </w:r>
      <w:hyperlink r:id="rId31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Flourish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intuicyjne platformy online do zaawansowanej wizualizacji danych, umożliwiające łatwe tworzenie interaktywnych wykresów, map i tabel; udostępniają bardzo rozbudowane, darmowe plany podstawowe.</w:t>
      </w:r>
    </w:p>
    <w:p w:rsidR="00000000" w:rsidDel="00000000" w:rsidP="00000000" w:rsidRDefault="00000000" w:rsidRPr="00000000" w14:paraId="00000023">
      <w:pPr>
        <w:pStyle w:val="Heading2"/>
        <w:spacing w:after="120" w:lineRule="auto"/>
        <w:rPr>
          <w:rFonts w:ascii="Inter ExtraBold" w:cs="Inter ExtraBold" w:eastAsia="Inter ExtraBold" w:hAnsi="Inter ExtraBold"/>
          <w:b w:val="0"/>
          <w:bCs w:val="0"/>
          <w:sz w:val="24"/>
          <w:szCs w:val="24"/>
        </w:rPr>
      </w:pPr>
      <w:bookmarkStart w:colFirst="0" w:colLast="0" w:name="_mhnm44emsq6y" w:id="7"/>
      <w:bookmarkEnd w:id="7"/>
      <w:r w:rsidDel="00000000" w:rsidR="00000000" w:rsidRPr="00000000">
        <w:rPr>
          <w:rFonts w:ascii="Inter ExtraBold" w:cs="Inter ExtraBold" w:eastAsia="Inter ExtraBold" w:hAnsi="Inter ExtraBold"/>
          <w:b w:val="0"/>
          <w:bCs w:val="0"/>
          <w:sz w:val="24"/>
          <w:szCs w:val="24"/>
          <w:rtl w:val="0"/>
        </w:rPr>
        <w:t xml:space="preserve">Narzędzia oparte o sztuczną inteligencję (AI)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/>
      </w:pPr>
      <w:hyperlink r:id="rId32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Google Gemini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zaawansowany asystent AI od Google, wspierający tworzenie tekstów, analizę danych oraz generowanie pomysłów; dostępny bezpłatnie w wersji podstawowej.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/>
      </w:pPr>
      <w:hyperlink r:id="rId33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Claude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inteligentny asystent AI wyspecjalizowany w pracy z tekstem, tworzeniu angażujących treści i głębokiej analizie dokumentów; oferuje darmowy plan podstawowy z limitami użycia.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rPr/>
      </w:pPr>
      <w:hyperlink r:id="rId34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Perplexity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wyszukiwarka konwersacyjna oparta na sztucznej inteligencji, która przeszukuje sieć w czasie rzeczywistym i podaje precyzyjne odpowiedzi wraz ze źródłami; dostępna bezpłatnie w wersji podstawowej.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/>
      </w:pPr>
      <w:hyperlink r:id="rId35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NotebookLM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darmowe narzędzie od Google, które pozwala stworzyć prywatnego asystenta AI „nakarmionego” wyłącznie dokumentami organizacji (np. raportami, statutem czy ustawami); idealne do szybkiego przeszukiwania opasłych baz wiedzy organizacji.</w:t>
      </w:r>
    </w:p>
    <w:p w:rsidR="00000000" w:rsidDel="00000000" w:rsidP="00000000" w:rsidRDefault="00000000" w:rsidRPr="00000000" w14:paraId="00000028">
      <w:pPr>
        <w:pStyle w:val="Heading2"/>
        <w:spacing w:after="120" w:lineRule="auto"/>
        <w:rPr>
          <w:rFonts w:ascii="Inter ExtraBold" w:cs="Inter ExtraBold" w:eastAsia="Inter ExtraBold" w:hAnsi="Inter ExtraBold"/>
          <w:b w:val="0"/>
          <w:bCs w:val="0"/>
          <w:sz w:val="24"/>
          <w:szCs w:val="24"/>
        </w:rPr>
      </w:pPr>
      <w:bookmarkStart w:colFirst="0" w:colLast="0" w:name="_tn9k6md107sa" w:id="8"/>
      <w:bookmarkEnd w:id="8"/>
      <w:r w:rsidDel="00000000" w:rsidR="00000000" w:rsidRPr="00000000">
        <w:rPr>
          <w:rFonts w:ascii="Inter ExtraBold" w:cs="Inter ExtraBold" w:eastAsia="Inter ExtraBold" w:hAnsi="Inter ExtraBold"/>
          <w:b w:val="0"/>
          <w:bCs w:val="0"/>
          <w:sz w:val="24"/>
          <w:szCs w:val="24"/>
          <w:rtl w:val="0"/>
        </w:rPr>
        <w:t xml:space="preserve">Analityka internetowa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/>
        <w:ind w:left="720" w:hanging="360"/>
        <w:rPr/>
      </w:pPr>
      <w:hyperlink r:id="rId36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Google Analytics (GA4)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darmowe, zaawansowane narzędzie analityczne służące do monitorowania ruchu na stronach internetowych oraz szczegółowej analizy zachowań użytkowników i skuteczności prowadzonych kampanii.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240" w:before="0" w:beforeAutospacing="0" w:lineRule="auto"/>
        <w:ind w:left="720" w:hanging="360"/>
        <w:rPr/>
      </w:pPr>
      <w:hyperlink r:id="rId37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Brand24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narzędzie do monitoringu Internetu, które w czasie rzeczywistym przeszukuje sieć i wyłapuje publiczne wzmianki o organizacji. Zapewnia przejrzysty raport, który pozwala szybko reagować na pytania opinii publicznej, budować relacje i mierzyć realny zasięg kampanii. Brand24 wspiera organizacje społeczne poprzez indywidualnie ustalane warunki współpracy.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before="280" w:lineRule="auto"/>
        <w:rPr>
          <w:rFonts w:ascii="Inter ExtraBold" w:cs="Inter ExtraBold" w:eastAsia="Inter ExtraBold" w:hAnsi="Inter ExtraBold"/>
          <w:b w:val="0"/>
          <w:bCs w:val="0"/>
          <w:sz w:val="24"/>
          <w:szCs w:val="24"/>
        </w:rPr>
      </w:pPr>
      <w:bookmarkStart w:colFirst="0" w:colLast="0" w:name="_ivlg3nknji2m" w:id="9"/>
      <w:bookmarkEnd w:id="9"/>
      <w:r w:rsidDel="00000000" w:rsidR="00000000" w:rsidRPr="00000000">
        <w:rPr>
          <w:rFonts w:ascii="Inter ExtraBold" w:cs="Inter ExtraBold" w:eastAsia="Inter ExtraBold" w:hAnsi="Inter ExtraBold"/>
          <w:b w:val="0"/>
          <w:bCs w:val="0"/>
          <w:sz w:val="24"/>
          <w:szCs w:val="24"/>
          <w:rtl w:val="0"/>
        </w:rPr>
        <w:t xml:space="preserve">Cyberbezpieczeństwo i ochrona danych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240" w:before="240" w:lineRule="auto"/>
        <w:ind w:left="720" w:hanging="360"/>
        <w:rPr>
          <w:rFonts w:ascii="Sen" w:cs="Sen" w:eastAsia="Sen" w:hAnsi="Sen"/>
        </w:rPr>
      </w:pPr>
      <w:hyperlink r:id="rId38">
        <w:r w:rsidDel="00000000" w:rsidR="00000000" w:rsidRPr="00000000">
          <w:rPr>
            <w:rFonts w:ascii="Inter" w:cs="Inter" w:eastAsia="Inter" w:hAnsi="Inter"/>
            <w:b w:val="1"/>
            <w:bCs w:val="1"/>
            <w:color w:val="1155cc"/>
            <w:u w:val="single"/>
            <w:rtl w:val="0"/>
          </w:rPr>
          <w:t xml:space="preserve">Bitwarden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– darmowy, otwartoźródłowy menedżer haseł, pozwalający na bezpieczne przechowywanie i współdzielenie haseł personalnych lub zespołowych.</w:t>
      </w:r>
    </w:p>
    <w:p w:rsidR="00000000" w:rsidDel="00000000" w:rsidP="00000000" w:rsidRDefault="00000000" w:rsidRPr="00000000" w14:paraId="0000002D">
      <w:pPr>
        <w:rPr>
          <w:rFonts w:ascii="Inter" w:cs="Inter" w:eastAsia="Inter" w:hAnsi="Int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Inter" w:cs="Inter" w:eastAsia="Inter" w:hAnsi="Inte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Inter" w:cs="Inter" w:eastAsia="Inter" w:hAnsi="Inter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spacing w:after="120" w:lineRule="auto"/>
        <w:rPr>
          <w:rFonts w:ascii="Inter ExtraBold" w:cs="Inter ExtraBold" w:eastAsia="Inter ExtraBold" w:hAnsi="Inter ExtraBold"/>
          <w:b w:val="0"/>
          <w:bCs w:val="0"/>
          <w:sz w:val="24"/>
          <w:szCs w:val="24"/>
        </w:rPr>
      </w:pPr>
      <w:bookmarkStart w:colFirst="0" w:colLast="0" w:name="_97p771ep0aw5" w:id="10"/>
      <w:bookmarkEnd w:id="10"/>
      <w:r w:rsidDel="00000000" w:rsidR="00000000" w:rsidRPr="00000000">
        <w:rPr>
          <w:rFonts w:ascii="Inter ExtraBold" w:cs="Inter ExtraBold" w:eastAsia="Inter ExtraBold" w:hAnsi="Inter ExtraBold"/>
          <w:b w:val="0"/>
          <w:bCs w:val="0"/>
          <w:sz w:val="24"/>
          <w:szCs w:val="24"/>
          <w:rtl w:val="0"/>
        </w:rPr>
        <w:t xml:space="preserve">⭐ Dodatkowe zniżki i oferty dla NGO</w:t>
      </w:r>
    </w:p>
    <w:p w:rsidR="00000000" w:rsidDel="00000000" w:rsidP="00000000" w:rsidRDefault="00000000" w:rsidRPr="00000000" w14:paraId="00000031">
      <w:pPr>
        <w:shd w:fill="ffffff" w:val="clear"/>
        <w:spacing w:before="240" w:lineRule="auto"/>
        <w:rPr>
          <w:rFonts w:ascii="Inter" w:cs="Inter" w:eastAsia="Inter" w:hAnsi="Inter"/>
          <w:vertAlign w:val="baseline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Polecamy </w:t>
      </w:r>
      <w:hyperlink r:id="rId39">
        <w:r w:rsidDel="00000000" w:rsidR="00000000" w:rsidRPr="00000000">
          <w:rPr>
            <w:rFonts w:ascii="Inter" w:cs="Inter" w:eastAsia="Inter" w:hAnsi="Inter"/>
            <w:b w:val="1"/>
            <w:bCs w:val="1"/>
            <w:color w:val="0b57d0"/>
            <w:u w:val="single"/>
            <w:rtl w:val="0"/>
          </w:rPr>
          <w:t xml:space="preserve">NGO.deals</w:t>
        </w:r>
      </w:hyperlink>
      <w:r w:rsidDel="00000000" w:rsidR="00000000" w:rsidRPr="00000000">
        <w:rPr>
          <w:rFonts w:ascii="Inter" w:cs="Inter" w:eastAsia="Inter" w:hAnsi="Inter"/>
          <w:color w:val="1f1f1f"/>
          <w:rtl w:val="0"/>
        </w:rPr>
        <w:t xml:space="preserve"> – serwis, który zbiera narzędzia i aplikacje dostępne bezpłatnie lub ze zniżką dla organizacji społecznych.</w:t>
      </w:r>
      <w:r w:rsidDel="00000000" w:rsidR="00000000" w:rsidRPr="00000000">
        <w:rPr>
          <w:rtl w:val="0"/>
        </w:rPr>
      </w:r>
    </w:p>
    <w:sectPr>
      <w:headerReference r:id="rId40" w:type="default"/>
      <w:footerReference r:id="rId41" w:type="default"/>
      <w:pgSz w:h="16840" w:w="11920" w:orient="portrait"/>
      <w:pgMar w:bottom="691.0009765625" w:top="1113.05908203125" w:left="1133.1383514404297" w:right="1170.718994140625" w:header="566.9291338582677" w:footer="850.393700787401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 ExtraBold">
    <w:embedBold w:fontKey="{00000000-0000-0000-0000-000000000000}" r:id="rId5" w:subsetted="0"/>
    <w:embedBoldItalic w:fontKey="{00000000-0000-0000-0000-000000000000}" r:id="rId6" w:subsetted="0"/>
  </w:font>
  <w:font w:name="Inter Tight ExtraBold">
    <w:embedBold w:fontKey="{00000000-0000-0000-0000-000000000000}" r:id="rId7" w:subsetted="0"/>
    <w:embedBoldItalic w:fontKey="{00000000-0000-0000-0000-000000000000}" r:id="rId8" w:subsetted="0"/>
  </w:font>
  <w:font w:name="Inter T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Sen">
    <w:embedRegular w:fontKey="{00000000-0000-0000-0000-000000000000}" r:id="rId13" w:subsetted="0"/>
    <w:embedBold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Lines w:val="1"/>
      <w:spacing w:before="200" w:lineRule="auto"/>
      <w:rPr>
        <w:rFonts w:ascii="Inter" w:cs="Inter" w:eastAsia="Inter" w:hAnsi="Inter"/>
        <w:sz w:val="18"/>
        <w:szCs w:val="18"/>
      </w:rPr>
    </w:pPr>
    <w:r w:rsidDel="00000000" w:rsidR="00000000" w:rsidRPr="00000000">
      <w:rPr>
        <w:rFonts w:ascii="Inter Tight" w:cs="Inter Tight" w:eastAsia="Inter Tight" w:hAnsi="Inter Tight"/>
        <w:color w:val="ee7203"/>
        <w:sz w:val="20"/>
        <w:szCs w:val="20"/>
        <w:rtl w:val="0"/>
      </w:rPr>
      <w:t xml:space="preserve">Kurs online „Ogarnij promocję w organizacji społecznej”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4943475</wp:posOffset>
          </wp:positionH>
          <wp:positionV relativeFrom="paragraph">
            <wp:posOffset>114300</wp:posOffset>
          </wp:positionV>
          <wp:extent cx="961620" cy="19091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1620" cy="19091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rPr/>
    </w:pPr>
    <w:r w:rsidDel="00000000" w:rsidR="00000000" w:rsidRPr="00000000">
      <w:rPr>
        <w:rFonts w:ascii="Inter" w:cs="Inter" w:eastAsia="Inter" w:hAnsi="Inter"/>
        <w:color w:val="ee7203"/>
        <w:sz w:val="20"/>
        <w:szCs w:val="20"/>
        <w:rtl w:val="0"/>
      </w:rPr>
      <w:t xml:space="preserve">Materiał dodatkowy / lekcja 6.1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Inter ExtraBold" w:cs="Inter ExtraBold" w:eastAsia="Inter ExtraBold" w:hAnsi="Inter ExtraBold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eader" Target="header1.xml"/><Relationship Id="rId20" Type="http://schemas.openxmlformats.org/officeDocument/2006/relationships/hyperlink" Target="https://nozbe.com/pl/" TargetMode="External"/><Relationship Id="rId41" Type="http://schemas.openxmlformats.org/officeDocument/2006/relationships/footer" Target="footer1.xml"/><Relationship Id="rId22" Type="http://schemas.openxmlformats.org/officeDocument/2006/relationships/hyperlink" Target="https://www.getresponse.com/" TargetMode="External"/><Relationship Id="rId21" Type="http://schemas.openxmlformats.org/officeDocument/2006/relationships/hyperlink" Target="https://www.mailerlite.com/pl" TargetMode="External"/><Relationship Id="rId24" Type="http://schemas.openxmlformats.org/officeDocument/2006/relationships/hyperlink" Target="https://www.canva.com/pl_pl/canva-dla-organzacji-non-profit/" TargetMode="External"/><Relationship Id="rId23" Type="http://schemas.openxmlformats.org/officeDocument/2006/relationships/hyperlink" Target="https://www.canva.com/pl_pl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l.libreoffice.org/" TargetMode="External"/><Relationship Id="rId26" Type="http://schemas.openxmlformats.org/officeDocument/2006/relationships/hyperlink" Target="https://www.affinity.studio/" TargetMode="External"/><Relationship Id="rId25" Type="http://schemas.openxmlformats.org/officeDocument/2006/relationships/hyperlink" Target="https://www.blackmagicdesign.com/pl/products/davinciresolve" TargetMode="External"/><Relationship Id="rId28" Type="http://schemas.openxmlformats.org/officeDocument/2006/relationships/hyperlink" Target="https://www.typeform.com/" TargetMode="External"/><Relationship Id="rId27" Type="http://schemas.openxmlformats.org/officeDocument/2006/relationships/hyperlink" Target="https://elevenlabs.io/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29" Type="http://schemas.openxmlformats.org/officeDocument/2006/relationships/hyperlink" Target="https://www.airtable.com/" TargetMode="External"/><Relationship Id="rId7" Type="http://schemas.openxmlformats.org/officeDocument/2006/relationships/hyperlink" Target="https://www.google.com/intl/pl/nonprofits/offerings/workspace/" TargetMode="External"/><Relationship Id="rId8" Type="http://schemas.openxmlformats.org/officeDocument/2006/relationships/hyperlink" Target="https://www.techsoup.pl/content/microsoft-365-nonprofit" TargetMode="External"/><Relationship Id="rId31" Type="http://schemas.openxmlformats.org/officeDocument/2006/relationships/hyperlink" Target="https://flourish.studio/" TargetMode="External"/><Relationship Id="rId30" Type="http://schemas.openxmlformats.org/officeDocument/2006/relationships/hyperlink" Target="https://www.datawrapper.de/" TargetMode="External"/><Relationship Id="rId11" Type="http://schemas.openxmlformats.org/officeDocument/2006/relationships/hyperlink" Target="https://slack.com/" TargetMode="External"/><Relationship Id="rId33" Type="http://schemas.openxmlformats.org/officeDocument/2006/relationships/hyperlink" Target="https://claude.ai/" TargetMode="External"/><Relationship Id="rId10" Type="http://schemas.openxmlformats.org/officeDocument/2006/relationships/hyperlink" Target="https://autenti.com/pl/" TargetMode="External"/><Relationship Id="rId32" Type="http://schemas.openxmlformats.org/officeDocument/2006/relationships/hyperlink" Target="https://gemini.google.com/?hl=pl" TargetMode="External"/><Relationship Id="rId13" Type="http://schemas.openxmlformats.org/officeDocument/2006/relationships/hyperlink" Target="https://www.zoom.com/pl" TargetMode="External"/><Relationship Id="rId35" Type="http://schemas.openxmlformats.org/officeDocument/2006/relationships/hyperlink" Target="https://notebooklm.google.com/" TargetMode="External"/><Relationship Id="rId12" Type="http://schemas.openxmlformats.org/officeDocument/2006/relationships/hyperlink" Target="https://www.microsoft.com/pl-pl/microsoft-teams/log-in" TargetMode="External"/><Relationship Id="rId34" Type="http://schemas.openxmlformats.org/officeDocument/2006/relationships/hyperlink" Target="https://www.perplexity.ai/" TargetMode="External"/><Relationship Id="rId15" Type="http://schemas.openxmlformats.org/officeDocument/2006/relationships/hyperlink" Target="https://www.notion.com/" TargetMode="External"/><Relationship Id="rId37" Type="http://schemas.openxmlformats.org/officeDocument/2006/relationships/hyperlink" Target="https://brand24.pl/" TargetMode="External"/><Relationship Id="rId14" Type="http://schemas.openxmlformats.org/officeDocument/2006/relationships/hyperlink" Target="https://jitsi.org/jitsi-meet/" TargetMode="External"/><Relationship Id="rId36" Type="http://schemas.openxmlformats.org/officeDocument/2006/relationships/hyperlink" Target="https://support.google.com/analytics/answer/10356589?hl=pl" TargetMode="External"/><Relationship Id="rId17" Type="http://schemas.openxmlformats.org/officeDocument/2006/relationships/hyperlink" Target="https://www.mural.co/" TargetMode="External"/><Relationship Id="rId39" Type="http://schemas.openxmlformats.org/officeDocument/2006/relationships/hyperlink" Target="https://ngo.deals/" TargetMode="External"/><Relationship Id="rId16" Type="http://schemas.openxmlformats.org/officeDocument/2006/relationships/hyperlink" Target="https://miro.com/pl/" TargetMode="External"/><Relationship Id="rId38" Type="http://schemas.openxmlformats.org/officeDocument/2006/relationships/hyperlink" Target="https://bitwarden.com/" TargetMode="External"/><Relationship Id="rId19" Type="http://schemas.openxmlformats.org/officeDocument/2006/relationships/hyperlink" Target="https://trello.com/pl/home" TargetMode="External"/><Relationship Id="rId18" Type="http://schemas.openxmlformats.org/officeDocument/2006/relationships/hyperlink" Target="https://asana.com/pl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InterTight-italic.ttf"/><Relationship Id="rId10" Type="http://schemas.openxmlformats.org/officeDocument/2006/relationships/font" Target="fonts/InterTight-bold.ttf"/><Relationship Id="rId13" Type="http://schemas.openxmlformats.org/officeDocument/2006/relationships/font" Target="fonts/Sen-regular.ttf"/><Relationship Id="rId12" Type="http://schemas.openxmlformats.org/officeDocument/2006/relationships/font" Target="fonts/InterTight-boldItalic.ttf"/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9" Type="http://schemas.openxmlformats.org/officeDocument/2006/relationships/font" Target="fonts/InterTight-regular.ttf"/><Relationship Id="rId14" Type="http://schemas.openxmlformats.org/officeDocument/2006/relationships/font" Target="fonts/Sen-bold.ttf"/><Relationship Id="rId5" Type="http://schemas.openxmlformats.org/officeDocument/2006/relationships/font" Target="fonts/InterExtraBold-bold.ttf"/><Relationship Id="rId6" Type="http://schemas.openxmlformats.org/officeDocument/2006/relationships/font" Target="fonts/InterExtraBold-boldItalic.ttf"/><Relationship Id="rId7" Type="http://schemas.openxmlformats.org/officeDocument/2006/relationships/font" Target="fonts/InterTightExtraBold-bold.ttf"/><Relationship Id="rId8" Type="http://schemas.openxmlformats.org/officeDocument/2006/relationships/font" Target="fonts/InterTightExtraBol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