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43DB" w14:textId="287BD67B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Terms of Reference (</w:t>
      </w:r>
      <w:proofErr w:type="spellStart"/>
      <w:r w:rsidRPr="0001631F">
        <w:rPr>
          <w:b/>
          <w:bCs/>
        </w:rPr>
        <w:t>ToR</w:t>
      </w:r>
      <w:proofErr w:type="spellEnd"/>
      <w:r w:rsidRPr="0001631F">
        <w:rPr>
          <w:b/>
          <w:bCs/>
        </w:rPr>
        <w:t>)</w:t>
      </w:r>
    </w:p>
    <w:p w14:paraId="21C61056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Consultant – Corporate Social Responsibility (CSR) Partnerships</w:t>
      </w:r>
    </w:p>
    <w:p w14:paraId="466D7CAC" w14:textId="2DDB843E" w:rsidR="0001631F" w:rsidRPr="0001631F" w:rsidRDefault="0001631F" w:rsidP="0001631F">
      <w:r w:rsidRPr="0001631F">
        <w:t>Location: Poland (remote with in-country engagement)</w:t>
      </w:r>
      <w:r w:rsidRPr="0001631F">
        <w:br/>
        <w:t xml:space="preserve">Duration: </w:t>
      </w:r>
      <w:r w:rsidR="00CF70DB">
        <w:t>8-12 weeks</w:t>
      </w:r>
      <w:r w:rsidRPr="0001631F">
        <w:br/>
        <w:t xml:space="preserve">Start date: </w:t>
      </w:r>
      <w:r w:rsidR="00CF70DB">
        <w:t>as soon as possible</w:t>
      </w:r>
    </w:p>
    <w:p w14:paraId="7154AC9F" w14:textId="596D0867" w:rsidR="0001631F" w:rsidRPr="0001631F" w:rsidRDefault="0001631F" w:rsidP="0001631F"/>
    <w:p w14:paraId="586F3D4E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1. Background</w:t>
      </w:r>
    </w:p>
    <w:p w14:paraId="3E8FC8C1" w14:textId="77777777" w:rsidR="0001631F" w:rsidRPr="0001631F" w:rsidRDefault="0001631F" w:rsidP="0001631F">
      <w:r w:rsidRPr="0001631F">
        <w:t>CARE is an international humanitarian and development organization working in over 100 countries to save lives, defeat poverty, and achieve social justice, with a strong emphasis on gender equality.</w:t>
      </w:r>
    </w:p>
    <w:p w14:paraId="2D1571C6" w14:textId="77777777" w:rsidR="0001631F" w:rsidRPr="0001631F" w:rsidRDefault="0001631F" w:rsidP="0001631F">
      <w:r w:rsidRPr="0001631F">
        <w:t>CARE Poland was established in response to the full-scale war in Ukraine and has since become a key actor supporting refugees and host communities. Its programming focuses on emergency response, education, livelihoods and upskilling, and health, with increasing emphasis on durable solutions and integration.</w:t>
      </w:r>
    </w:p>
    <w:p w14:paraId="2ABA94B8" w14:textId="5C5ED265" w:rsidR="0001631F" w:rsidRPr="0001631F" w:rsidRDefault="0001631F" w:rsidP="0001631F">
      <w:r w:rsidRPr="0001631F">
        <w:t>In a rapidly evolving funding environment</w:t>
      </w:r>
      <w:r w:rsidR="00C06C66">
        <w:t xml:space="preserve">, </w:t>
      </w:r>
      <w:r w:rsidRPr="0001631F">
        <w:t>CARE Poland is seeking to diversify its funding base and strengthen engagement with the private sector in Poland, in alignment with CARE’s global corporate partnership frameworks and ethical standards.</w:t>
      </w:r>
    </w:p>
    <w:p w14:paraId="2DCEFBB5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2. Objective of the Consultancy</w:t>
      </w:r>
    </w:p>
    <w:p w14:paraId="789B26B7" w14:textId="70CB75E1" w:rsidR="0001631F" w:rsidRPr="0001631F" w:rsidRDefault="0001631F" w:rsidP="0001631F">
      <w:r w:rsidRPr="0001631F">
        <w:t xml:space="preserve">The objective of this consultancy is to support CARE Poland in designing and </w:t>
      </w:r>
      <w:r w:rsidR="008F667D">
        <w:t>o</w:t>
      </w:r>
      <w:r w:rsidRPr="0001631F">
        <w:t>perationalizing a structured and results-oriented approach to CSR engagement, enabling the organization to:</w:t>
      </w:r>
    </w:p>
    <w:p w14:paraId="7329441F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Establish meaningful and strategic partnerships with private companies in Poland </w:t>
      </w:r>
    </w:p>
    <w:p w14:paraId="11274D07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Increase access to CSR funding and in-kind support </w:t>
      </w:r>
    </w:p>
    <w:p w14:paraId="2BC2D172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Position CARE Poland as a credible and competitive private sector partner </w:t>
      </w:r>
    </w:p>
    <w:p w14:paraId="6BE9DC53" w14:textId="77777777" w:rsidR="0001631F" w:rsidRPr="0001631F" w:rsidRDefault="0001631F" w:rsidP="0001631F">
      <w:pPr>
        <w:numPr>
          <w:ilvl w:val="0"/>
          <w:numId w:val="8"/>
        </w:numPr>
      </w:pPr>
      <w:r w:rsidRPr="0001631F">
        <w:t xml:space="preserve">Initiate direct engagement with targeted companies </w:t>
      </w:r>
    </w:p>
    <w:p w14:paraId="3EB380F2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3. Scope of Work</w:t>
      </w:r>
    </w:p>
    <w:p w14:paraId="07668807" w14:textId="77777777" w:rsidR="0001631F" w:rsidRPr="0001631F" w:rsidRDefault="0001631F" w:rsidP="0001631F">
      <w:r w:rsidRPr="0001631F">
        <w:t>The consultant will work closely with CARE Poland and relevant CARE global teams to:</w:t>
      </w:r>
    </w:p>
    <w:p w14:paraId="037D2C4B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Analyze the CSR landscape in Poland and identify priority sectors and companies </w:t>
      </w:r>
    </w:p>
    <w:p w14:paraId="7418F21D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Develop a tiered pipeline of target companies </w:t>
      </w:r>
    </w:p>
    <w:p w14:paraId="7C0D3D90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lastRenderedPageBreak/>
        <w:t xml:space="preserve">Advise on and implement effective engagement strategies tailored to the Polish private sector context </w:t>
      </w:r>
    </w:p>
    <w:p w14:paraId="22FFC768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Support CARE Poland in articulating a strong value proposition for corporate partners, including: </w:t>
      </w:r>
    </w:p>
    <w:p w14:paraId="4991B1A1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identifying corporate “pain points” or business challenges </w:t>
      </w:r>
    </w:p>
    <w:p w14:paraId="755846F3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matching these with CARE’s assets and programmatic expertise </w:t>
      </w:r>
    </w:p>
    <w:p w14:paraId="56A6D3D5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structuring partnership offers (including financial and non-financial contributions) </w:t>
      </w:r>
    </w:p>
    <w:p w14:paraId="59198073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Support CARE Poland in initiating and conducting engagements with selected companies </w:t>
      </w:r>
    </w:p>
    <w:p w14:paraId="42618F19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Guide early-stage conversion of leads into partnership opportunities, including: </w:t>
      </w:r>
    </w:p>
    <w:p w14:paraId="33BB8B53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shaping partnership concepts based on company needs </w:t>
      </w:r>
    </w:p>
    <w:p w14:paraId="3CDCAF71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outlining potential collaboration models </w:t>
      </w:r>
    </w:p>
    <w:p w14:paraId="7943560B" w14:textId="77777777" w:rsidR="0001631F" w:rsidRPr="0001631F" w:rsidRDefault="0001631F" w:rsidP="0001631F">
      <w:pPr>
        <w:numPr>
          <w:ilvl w:val="1"/>
          <w:numId w:val="9"/>
        </w:numPr>
      </w:pPr>
      <w:r w:rsidRPr="0001631F">
        <w:t xml:space="preserve">advising on internal processes (e.g., legal, compliance, IPO review where relevant) </w:t>
      </w:r>
    </w:p>
    <w:p w14:paraId="2748D597" w14:textId="77777777" w:rsidR="0001631F" w:rsidRPr="0001631F" w:rsidRDefault="0001631F" w:rsidP="0001631F">
      <w:pPr>
        <w:numPr>
          <w:ilvl w:val="0"/>
          <w:numId w:val="9"/>
        </w:numPr>
      </w:pPr>
      <w:r w:rsidRPr="0001631F">
        <w:t xml:space="preserve">Ensure alignment with CARE’s global corporate partnership frameworks and ethical screening requirements </w:t>
      </w:r>
    </w:p>
    <w:p w14:paraId="3FF3B73D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4. Key Deliverables</w:t>
      </w:r>
    </w:p>
    <w:p w14:paraId="03C97110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CSR Landscape Analysis (brief) </w:t>
      </w:r>
    </w:p>
    <w:p w14:paraId="62031461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Overview of CSR trends in Poland </w:t>
      </w:r>
    </w:p>
    <w:p w14:paraId="2B31B577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Identification of priority sectors and high-potential companies </w:t>
      </w:r>
    </w:p>
    <w:p w14:paraId="2D0B631C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Target Company Pipeline </w:t>
      </w:r>
    </w:p>
    <w:p w14:paraId="28E5EA96" w14:textId="1F45079D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A prioritized list of </w:t>
      </w:r>
      <w:r w:rsidR="00A37F17">
        <w:t>2</w:t>
      </w:r>
      <w:r w:rsidRPr="0001631F">
        <w:t>0–</w:t>
      </w:r>
      <w:r w:rsidR="00A37F17">
        <w:t>3</w:t>
      </w:r>
      <w:r w:rsidRPr="0001631F">
        <w:t xml:space="preserve">0 companies, segmented into tiers </w:t>
      </w:r>
    </w:p>
    <w:p w14:paraId="176545ED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Entry points and engagement strategies for each </w:t>
      </w:r>
    </w:p>
    <w:p w14:paraId="233848E0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CSR Engagement Strategy </w:t>
      </w:r>
    </w:p>
    <w:p w14:paraId="4150808F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Practical recommendations on outreach, positioning, and conversion </w:t>
      </w:r>
    </w:p>
    <w:p w14:paraId="4860B6DB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Guidance on corporate-facing messaging and “speaking the language of business” </w:t>
      </w:r>
    </w:p>
    <w:p w14:paraId="4153BF48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lastRenderedPageBreak/>
        <w:t xml:space="preserve">Framework for identifying company needs and aligning them with CARE solutions </w:t>
      </w:r>
    </w:p>
    <w:p w14:paraId="44DE1130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Tiered Partnership Concepts and Materials </w:t>
      </w:r>
    </w:p>
    <w:p w14:paraId="164624B9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Top-tier (approx. 5 companies): In-depth, high-quality tailored partnership proposals </w:t>
      </w:r>
    </w:p>
    <w:p w14:paraId="1BFB8F39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Second/third tier: Lighter concept notes or pitch materials </w:t>
      </w:r>
    </w:p>
    <w:p w14:paraId="1CB23229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Engagement and Conversion Support </w:t>
      </w:r>
    </w:p>
    <w:p w14:paraId="7B3B0810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Facilitation of at least 5–10 introductory meetings with target companies </w:t>
      </w:r>
    </w:p>
    <w:p w14:paraId="22B13E5B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Support CARE Poland in conducting meetings and follow-ups </w:t>
      </w:r>
    </w:p>
    <w:p w14:paraId="04B1FC4F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Progress a subset of opportunities to active partnership discussions </w:t>
      </w:r>
    </w:p>
    <w:p w14:paraId="6E9C84D5" w14:textId="77777777" w:rsidR="0001631F" w:rsidRPr="0001631F" w:rsidRDefault="0001631F" w:rsidP="0001631F">
      <w:pPr>
        <w:numPr>
          <w:ilvl w:val="0"/>
          <w:numId w:val="10"/>
        </w:numPr>
        <w:rPr>
          <w:b/>
          <w:bCs/>
        </w:rPr>
      </w:pPr>
      <w:r w:rsidRPr="0001631F">
        <w:rPr>
          <w:b/>
          <w:bCs/>
        </w:rPr>
        <w:t xml:space="preserve">Handover and Sustainability Plan </w:t>
      </w:r>
    </w:p>
    <w:p w14:paraId="05A0D40C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Clear transition plan for pipeline ownership within CARE Poland </w:t>
      </w:r>
    </w:p>
    <w:p w14:paraId="05F37CCC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Recommendations for pipeline tracking and follow-up </w:t>
      </w:r>
    </w:p>
    <w:p w14:paraId="69074692" w14:textId="77777777" w:rsidR="0001631F" w:rsidRPr="0001631F" w:rsidRDefault="0001631F" w:rsidP="0001631F">
      <w:pPr>
        <w:numPr>
          <w:ilvl w:val="1"/>
          <w:numId w:val="10"/>
        </w:numPr>
      </w:pPr>
      <w:r w:rsidRPr="0001631F">
        <w:t xml:space="preserve">Capacity support to ensure continuity after the consultancy </w:t>
      </w:r>
    </w:p>
    <w:p w14:paraId="572B2C2D" w14:textId="02328487" w:rsidR="0001631F" w:rsidRPr="0001631F" w:rsidRDefault="0001631F" w:rsidP="0001631F"/>
    <w:p w14:paraId="2E4A8BB9" w14:textId="77777777" w:rsidR="0001631F" w:rsidRPr="0001631F" w:rsidRDefault="0001631F" w:rsidP="0001631F">
      <w:r w:rsidRPr="0001631F">
        <w:t xml:space="preserve">5. </w:t>
      </w:r>
      <w:r w:rsidRPr="0001631F">
        <w:rPr>
          <w:b/>
          <w:bCs/>
        </w:rPr>
        <w:t>Expected Results (Success Indicators)</w:t>
      </w:r>
    </w:p>
    <w:p w14:paraId="7CDEF5B8" w14:textId="12A0CF06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Mapping of </w:t>
      </w:r>
      <w:r w:rsidR="00836117">
        <w:t>2</w:t>
      </w:r>
      <w:r w:rsidRPr="0001631F">
        <w:t>0–</w:t>
      </w:r>
      <w:r w:rsidR="00836117">
        <w:t>3</w:t>
      </w:r>
      <w:r w:rsidRPr="0001631F">
        <w:t xml:space="preserve">0 target companies </w:t>
      </w:r>
    </w:p>
    <w:p w14:paraId="108598EB" w14:textId="55F52926" w:rsidR="0001631F" w:rsidRPr="0001631F" w:rsidRDefault="0001631F" w:rsidP="0001631F">
      <w:pPr>
        <w:numPr>
          <w:ilvl w:val="0"/>
          <w:numId w:val="11"/>
        </w:numPr>
      </w:pPr>
      <w:r w:rsidRPr="0001631F">
        <w:t>Engagement with 1</w:t>
      </w:r>
      <w:r w:rsidR="00836117">
        <w:t>0</w:t>
      </w:r>
      <w:r w:rsidRPr="0001631F">
        <w:t>–</w:t>
      </w:r>
      <w:r w:rsidR="00836117">
        <w:t>15</w:t>
      </w:r>
      <w:r w:rsidRPr="0001631F">
        <w:t xml:space="preserve"> priority companies </w:t>
      </w:r>
    </w:p>
    <w:p w14:paraId="7048399F" w14:textId="7777777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Facilitation of at least 5–10 company meetings </w:t>
      </w:r>
    </w:p>
    <w:p w14:paraId="1DD78931" w14:textId="1F6623C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Development of </w:t>
      </w:r>
      <w:r w:rsidR="00896CB0">
        <w:t>10-15</w:t>
      </w:r>
      <w:r w:rsidRPr="0001631F">
        <w:t xml:space="preserve"> partnership concepts (tiered by depth) </w:t>
      </w:r>
    </w:p>
    <w:p w14:paraId="70B6DD29" w14:textId="7777777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At least 3–5 opportunities advanced to active discussion stage </w:t>
      </w:r>
    </w:p>
    <w:p w14:paraId="2C6AA4F7" w14:textId="77777777" w:rsidR="0001631F" w:rsidRPr="0001631F" w:rsidRDefault="0001631F" w:rsidP="0001631F">
      <w:pPr>
        <w:numPr>
          <w:ilvl w:val="0"/>
          <w:numId w:val="11"/>
        </w:numPr>
      </w:pPr>
      <w:r w:rsidRPr="0001631F">
        <w:t xml:space="preserve">Strengthened internal capacity to manage CSR engagement and conversion </w:t>
      </w:r>
    </w:p>
    <w:p w14:paraId="585E70E9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6. Duration and Level of Effort</w:t>
      </w:r>
    </w:p>
    <w:p w14:paraId="3A1E7F0D" w14:textId="117A2326" w:rsidR="0001631F" w:rsidRPr="0001631F" w:rsidRDefault="0001631F" w:rsidP="0001631F">
      <w:pPr>
        <w:numPr>
          <w:ilvl w:val="0"/>
          <w:numId w:val="12"/>
        </w:numPr>
      </w:pPr>
      <w:r w:rsidRPr="0001631F">
        <w:t>Duration: 8–12 weeks</w:t>
      </w:r>
    </w:p>
    <w:p w14:paraId="3EFCD87C" w14:textId="2F76D29F" w:rsidR="0001631F" w:rsidRPr="0001631F" w:rsidRDefault="0001631F" w:rsidP="0001631F">
      <w:pPr>
        <w:numPr>
          <w:ilvl w:val="0"/>
          <w:numId w:val="12"/>
        </w:numPr>
      </w:pPr>
      <w:r w:rsidRPr="0001631F">
        <w:t>Level of effort: 20–30 working days</w:t>
      </w:r>
    </w:p>
    <w:p w14:paraId="0509E0D2" w14:textId="77777777" w:rsidR="0001631F" w:rsidRPr="0001631F" w:rsidRDefault="0001631F" w:rsidP="0001631F">
      <w:pPr>
        <w:numPr>
          <w:ilvl w:val="0"/>
          <w:numId w:val="12"/>
        </w:numPr>
      </w:pPr>
      <w:r w:rsidRPr="0001631F">
        <w:t xml:space="preserve">Modality: Remote work with regular coordination and selected in-country meetings </w:t>
      </w:r>
    </w:p>
    <w:p w14:paraId="6825EAF5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7. Required Qualifications</w:t>
      </w:r>
    </w:p>
    <w:p w14:paraId="11B3B59D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lastRenderedPageBreak/>
        <w:t xml:space="preserve">Proven experience in CSR, corporate partnerships, or private sector engagement in Poland </w:t>
      </w:r>
    </w:p>
    <w:p w14:paraId="364AFE22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Strong understanding of the Polish CSR and corporate landscape </w:t>
      </w:r>
    </w:p>
    <w:p w14:paraId="76043DBB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Established network of corporate contacts (strong asset) </w:t>
      </w:r>
    </w:p>
    <w:p w14:paraId="1BC137E8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Experience in business development and partnership structuring </w:t>
      </w:r>
    </w:p>
    <w:p w14:paraId="5E8A7441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Ability to translate social impact work into compelling business propositions </w:t>
      </w:r>
    </w:p>
    <w:p w14:paraId="009ACB91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Experience working with NGOs or international organizations </w:t>
      </w:r>
    </w:p>
    <w:p w14:paraId="4D802702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Strong communication, facilitation, and negotiation skills </w:t>
      </w:r>
    </w:p>
    <w:p w14:paraId="48654D72" w14:textId="77777777" w:rsidR="0001631F" w:rsidRPr="0001631F" w:rsidRDefault="0001631F" w:rsidP="0001631F">
      <w:pPr>
        <w:numPr>
          <w:ilvl w:val="0"/>
          <w:numId w:val="13"/>
        </w:numPr>
      </w:pPr>
      <w:r w:rsidRPr="0001631F">
        <w:t xml:space="preserve">Fluency in Polish and English </w:t>
      </w:r>
    </w:p>
    <w:p w14:paraId="7B5FB0F2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8. Reporting and Coordination</w:t>
      </w:r>
    </w:p>
    <w:p w14:paraId="211429A1" w14:textId="4CC418F4" w:rsidR="0001631F" w:rsidRPr="0001631F" w:rsidRDefault="0001631F" w:rsidP="0001631F">
      <w:r w:rsidRPr="0001631F">
        <w:t xml:space="preserve">The consultant will report to </w:t>
      </w:r>
      <w:r w:rsidR="00896CB0">
        <w:t>CARE Poland Country Director</w:t>
      </w:r>
      <w:r w:rsidRPr="0001631F">
        <w:t xml:space="preserve"> and work closely with CARE Poland’s team, as well as relevant CARE global units working on private sector engagement.</w:t>
      </w:r>
    </w:p>
    <w:p w14:paraId="1D8DC6C1" w14:textId="009D6F9F" w:rsidR="0001631F" w:rsidRPr="0001631F" w:rsidRDefault="0001631F" w:rsidP="0001631F"/>
    <w:p w14:paraId="630E959B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9. Application Process</w:t>
      </w:r>
    </w:p>
    <w:p w14:paraId="418E3DB1" w14:textId="77777777" w:rsidR="0001631F" w:rsidRPr="0001631F" w:rsidRDefault="0001631F" w:rsidP="0001631F">
      <w:r w:rsidRPr="0001631F">
        <w:t>Interested candidates are invited to submit:</w:t>
      </w:r>
    </w:p>
    <w:p w14:paraId="08E175BD" w14:textId="77777777" w:rsidR="0001631F" w:rsidRPr="0001631F" w:rsidRDefault="0001631F" w:rsidP="0001631F">
      <w:pPr>
        <w:numPr>
          <w:ilvl w:val="0"/>
          <w:numId w:val="14"/>
        </w:numPr>
      </w:pPr>
      <w:r w:rsidRPr="0001631F">
        <w:t xml:space="preserve">CV </w:t>
      </w:r>
    </w:p>
    <w:p w14:paraId="4C6E7D3F" w14:textId="77777777" w:rsidR="0001631F" w:rsidRPr="0001631F" w:rsidRDefault="0001631F" w:rsidP="0001631F">
      <w:pPr>
        <w:numPr>
          <w:ilvl w:val="0"/>
          <w:numId w:val="14"/>
        </w:numPr>
      </w:pPr>
      <w:r w:rsidRPr="0001631F">
        <w:t xml:space="preserve">Short proposal (max. 2–3 pages) including: </w:t>
      </w:r>
    </w:p>
    <w:p w14:paraId="45C7AC75" w14:textId="77777777" w:rsidR="0001631F" w:rsidRPr="0001631F" w:rsidRDefault="0001631F" w:rsidP="0001631F">
      <w:pPr>
        <w:numPr>
          <w:ilvl w:val="1"/>
          <w:numId w:val="14"/>
        </w:numPr>
      </w:pPr>
      <w:r w:rsidRPr="0001631F">
        <w:t xml:space="preserve">Understanding of the assignment </w:t>
      </w:r>
    </w:p>
    <w:p w14:paraId="182FE4CA" w14:textId="77777777" w:rsidR="0001631F" w:rsidRPr="0001631F" w:rsidRDefault="0001631F" w:rsidP="0001631F">
      <w:pPr>
        <w:numPr>
          <w:ilvl w:val="1"/>
          <w:numId w:val="14"/>
        </w:numPr>
      </w:pPr>
      <w:r w:rsidRPr="0001631F">
        <w:t xml:space="preserve">Proposed approach and methodology </w:t>
      </w:r>
    </w:p>
    <w:p w14:paraId="0068DC86" w14:textId="77777777" w:rsidR="0001631F" w:rsidRPr="0001631F" w:rsidRDefault="0001631F" w:rsidP="0001631F">
      <w:pPr>
        <w:numPr>
          <w:ilvl w:val="1"/>
          <w:numId w:val="14"/>
        </w:numPr>
      </w:pPr>
      <w:r w:rsidRPr="0001631F">
        <w:t xml:space="preserve">Relevant experience </w:t>
      </w:r>
    </w:p>
    <w:p w14:paraId="51E0AA90" w14:textId="77777777" w:rsidR="0001631F" w:rsidRPr="0001631F" w:rsidRDefault="0001631F" w:rsidP="0001631F">
      <w:pPr>
        <w:numPr>
          <w:ilvl w:val="0"/>
          <w:numId w:val="14"/>
        </w:numPr>
      </w:pPr>
      <w:r w:rsidRPr="0001631F">
        <w:t xml:space="preserve">Financial offer (daily rate and total cost) </w:t>
      </w:r>
    </w:p>
    <w:p w14:paraId="32FC44C2" w14:textId="2462786A" w:rsidR="0001631F" w:rsidRPr="0001631F" w:rsidRDefault="0001631F" w:rsidP="0001631F">
      <w:r w:rsidRPr="0001631F">
        <w:t xml:space="preserve">Applications should be sent to: </w:t>
      </w:r>
      <w:r w:rsidR="001A5D1A">
        <w:t>pol.procurement@care.org</w:t>
      </w:r>
      <w:r w:rsidRPr="0001631F">
        <w:br/>
        <w:t xml:space="preserve">Deadline: </w:t>
      </w:r>
      <w:r w:rsidR="00A40E48" w:rsidRPr="00A40E48">
        <w:t>11</w:t>
      </w:r>
      <w:r w:rsidR="00A40E48" w:rsidRPr="00A40E48">
        <w:rPr>
          <w:vertAlign w:val="superscript"/>
        </w:rPr>
        <w:t>th</w:t>
      </w:r>
      <w:r w:rsidR="00A40E48" w:rsidRPr="00A40E48">
        <w:t xml:space="preserve"> May 2026</w:t>
      </w:r>
    </w:p>
    <w:p w14:paraId="3547CD99" w14:textId="77777777" w:rsidR="0001631F" w:rsidRPr="0001631F" w:rsidRDefault="0001631F" w:rsidP="0001631F">
      <w:pPr>
        <w:rPr>
          <w:b/>
          <w:bCs/>
        </w:rPr>
      </w:pPr>
      <w:r w:rsidRPr="0001631F">
        <w:rPr>
          <w:b/>
          <w:bCs/>
        </w:rPr>
        <w:t>10. Selection Criteria</w:t>
      </w:r>
    </w:p>
    <w:p w14:paraId="1EA73722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 xml:space="preserve">Relevant experience and expertise </w:t>
      </w:r>
    </w:p>
    <w:p w14:paraId="0FFAD0F2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 xml:space="preserve">Quality and practicality of the proposed approach </w:t>
      </w:r>
    </w:p>
    <w:p w14:paraId="242E933B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lastRenderedPageBreak/>
        <w:t xml:space="preserve">Strength of professional network </w:t>
      </w:r>
    </w:p>
    <w:p w14:paraId="29D30491" w14:textId="77777777" w:rsidR="0001631F" w:rsidRPr="0001631F" w:rsidRDefault="0001631F" w:rsidP="0001631F">
      <w:pPr>
        <w:numPr>
          <w:ilvl w:val="0"/>
          <w:numId w:val="15"/>
        </w:numPr>
      </w:pPr>
      <w:r w:rsidRPr="0001631F">
        <w:t>Financial competitiveness</w:t>
      </w:r>
    </w:p>
    <w:p w14:paraId="7AC5E05E" w14:textId="77777777" w:rsidR="00490891" w:rsidRPr="00CF70DB" w:rsidRDefault="00490891" w:rsidP="0001631F"/>
    <w:sectPr w:rsidR="00490891" w:rsidRPr="00CF70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8992" w14:textId="77777777" w:rsidR="007F50BC" w:rsidRDefault="007F50BC" w:rsidP="00D70451">
      <w:pPr>
        <w:spacing w:after="0" w:line="240" w:lineRule="auto"/>
      </w:pPr>
      <w:r>
        <w:separator/>
      </w:r>
    </w:p>
  </w:endnote>
  <w:endnote w:type="continuationSeparator" w:id="0">
    <w:p w14:paraId="48BF77B8" w14:textId="77777777" w:rsidR="007F50BC" w:rsidRDefault="007F50BC" w:rsidP="00D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5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74379" w14:textId="00239480" w:rsidR="00D70451" w:rsidRDefault="00D704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19E19" w14:textId="77777777" w:rsidR="00D70451" w:rsidRDefault="00D70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9A71" w14:textId="77777777" w:rsidR="007F50BC" w:rsidRDefault="007F50BC" w:rsidP="00D70451">
      <w:pPr>
        <w:spacing w:after="0" w:line="240" w:lineRule="auto"/>
      </w:pPr>
      <w:r>
        <w:separator/>
      </w:r>
    </w:p>
  </w:footnote>
  <w:footnote w:type="continuationSeparator" w:id="0">
    <w:p w14:paraId="0A8D883D" w14:textId="77777777" w:rsidR="007F50BC" w:rsidRDefault="007F50BC" w:rsidP="00D7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925"/>
    <w:multiLevelType w:val="multilevel"/>
    <w:tmpl w:val="D0F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CA0"/>
    <w:multiLevelType w:val="multilevel"/>
    <w:tmpl w:val="2DC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7AC7"/>
    <w:multiLevelType w:val="multilevel"/>
    <w:tmpl w:val="0534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C3B07"/>
    <w:multiLevelType w:val="multilevel"/>
    <w:tmpl w:val="86D8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55906"/>
    <w:multiLevelType w:val="multilevel"/>
    <w:tmpl w:val="FFCE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91D3A"/>
    <w:multiLevelType w:val="multilevel"/>
    <w:tmpl w:val="C71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A1F7D"/>
    <w:multiLevelType w:val="multilevel"/>
    <w:tmpl w:val="5762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76048"/>
    <w:multiLevelType w:val="multilevel"/>
    <w:tmpl w:val="F4E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E50D2"/>
    <w:multiLevelType w:val="multilevel"/>
    <w:tmpl w:val="7EA4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97D0F"/>
    <w:multiLevelType w:val="multilevel"/>
    <w:tmpl w:val="E8F6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32EAB"/>
    <w:multiLevelType w:val="multilevel"/>
    <w:tmpl w:val="157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238EE"/>
    <w:multiLevelType w:val="multilevel"/>
    <w:tmpl w:val="795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950A4"/>
    <w:multiLevelType w:val="multilevel"/>
    <w:tmpl w:val="EC84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E40DF"/>
    <w:multiLevelType w:val="multilevel"/>
    <w:tmpl w:val="BE2A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118D5"/>
    <w:multiLevelType w:val="multilevel"/>
    <w:tmpl w:val="BD1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51519">
    <w:abstractNumId w:val="13"/>
  </w:num>
  <w:num w:numId="2" w16cid:durableId="1082409665">
    <w:abstractNumId w:val="7"/>
  </w:num>
  <w:num w:numId="3" w16cid:durableId="234046238">
    <w:abstractNumId w:val="4"/>
  </w:num>
  <w:num w:numId="4" w16cid:durableId="917909438">
    <w:abstractNumId w:val="3"/>
  </w:num>
  <w:num w:numId="5" w16cid:durableId="1547913388">
    <w:abstractNumId w:val="9"/>
  </w:num>
  <w:num w:numId="6" w16cid:durableId="2119566510">
    <w:abstractNumId w:val="6"/>
  </w:num>
  <w:num w:numId="7" w16cid:durableId="2094619414">
    <w:abstractNumId w:val="8"/>
  </w:num>
  <w:num w:numId="8" w16cid:durableId="2136176363">
    <w:abstractNumId w:val="1"/>
  </w:num>
  <w:num w:numId="9" w16cid:durableId="1719011410">
    <w:abstractNumId w:val="12"/>
  </w:num>
  <w:num w:numId="10" w16cid:durableId="303044056">
    <w:abstractNumId w:val="11"/>
  </w:num>
  <w:num w:numId="11" w16cid:durableId="625088666">
    <w:abstractNumId w:val="5"/>
  </w:num>
  <w:num w:numId="12" w16cid:durableId="664943021">
    <w:abstractNumId w:val="2"/>
  </w:num>
  <w:num w:numId="13" w16cid:durableId="286014764">
    <w:abstractNumId w:val="10"/>
  </w:num>
  <w:num w:numId="14" w16cid:durableId="1173716709">
    <w:abstractNumId w:val="0"/>
  </w:num>
  <w:num w:numId="15" w16cid:durableId="734821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19"/>
    <w:rsid w:val="0001631F"/>
    <w:rsid w:val="00032F97"/>
    <w:rsid w:val="00077E9D"/>
    <w:rsid w:val="001A5D1A"/>
    <w:rsid w:val="001F2340"/>
    <w:rsid w:val="00352519"/>
    <w:rsid w:val="00490891"/>
    <w:rsid w:val="0054595F"/>
    <w:rsid w:val="007C0FD9"/>
    <w:rsid w:val="007F50BC"/>
    <w:rsid w:val="00836117"/>
    <w:rsid w:val="00871402"/>
    <w:rsid w:val="00896CB0"/>
    <w:rsid w:val="008F667D"/>
    <w:rsid w:val="00A151A6"/>
    <w:rsid w:val="00A37F17"/>
    <w:rsid w:val="00A40E48"/>
    <w:rsid w:val="00C06C66"/>
    <w:rsid w:val="00CC137F"/>
    <w:rsid w:val="00CE27FB"/>
    <w:rsid w:val="00CF70DB"/>
    <w:rsid w:val="00D23160"/>
    <w:rsid w:val="00D70451"/>
    <w:rsid w:val="00DF3B99"/>
    <w:rsid w:val="00FA73E6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453F"/>
  <w15:chartTrackingRefBased/>
  <w15:docId w15:val="{6832672E-A9E2-4A5C-BED8-C4506A4E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5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51"/>
  </w:style>
  <w:style w:type="paragraph" w:styleId="Footer">
    <w:name w:val="footer"/>
    <w:basedOn w:val="Normal"/>
    <w:link w:val="FooterChar"/>
    <w:uiPriority w:val="99"/>
    <w:unhideWhenUsed/>
    <w:rsid w:val="00D7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Sasin</dc:creator>
  <cp:keywords/>
  <dc:description/>
  <cp:lastModifiedBy>Gevorg Kehyan</cp:lastModifiedBy>
  <cp:revision>15</cp:revision>
  <dcterms:created xsi:type="dcterms:W3CDTF">2026-04-01T06:57:00Z</dcterms:created>
  <dcterms:modified xsi:type="dcterms:W3CDTF">2026-05-04T09:50:00Z</dcterms:modified>
</cp:coreProperties>
</file>