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6345D" w14:textId="77777777" w:rsidR="00187AD6" w:rsidRDefault="00187AD6">
      <w:pPr>
        <w:pBdr>
          <w:top w:val="nil"/>
          <w:left w:val="nil"/>
          <w:bottom w:val="nil"/>
          <w:right w:val="nil"/>
          <w:between w:val="nil"/>
        </w:pBdr>
        <w:spacing w:after="0" w:line="240" w:lineRule="auto"/>
        <w:ind w:hanging="2"/>
        <w:rPr>
          <w:color w:val="000000"/>
          <w:sz w:val="24"/>
          <w:szCs w:val="24"/>
        </w:rPr>
      </w:pPr>
    </w:p>
    <w:p w14:paraId="76B382E9" w14:textId="77777777" w:rsidR="00187AD6" w:rsidRDefault="00187AD6">
      <w:pPr>
        <w:pBdr>
          <w:top w:val="nil"/>
          <w:left w:val="nil"/>
          <w:bottom w:val="nil"/>
          <w:right w:val="nil"/>
          <w:between w:val="nil"/>
        </w:pBdr>
        <w:spacing w:after="0" w:line="240" w:lineRule="auto"/>
        <w:ind w:hanging="2"/>
        <w:jc w:val="right"/>
        <w:rPr>
          <w:color w:val="000000"/>
        </w:rPr>
      </w:pPr>
    </w:p>
    <w:p w14:paraId="5FB22E83" w14:textId="77777777" w:rsidR="00187AD6" w:rsidRDefault="00187AD6">
      <w:pPr>
        <w:pBdr>
          <w:top w:val="nil"/>
          <w:left w:val="nil"/>
          <w:bottom w:val="nil"/>
          <w:right w:val="nil"/>
          <w:between w:val="nil"/>
        </w:pBdr>
        <w:spacing w:after="0" w:line="240" w:lineRule="auto"/>
        <w:ind w:hanging="2"/>
        <w:jc w:val="right"/>
        <w:rPr>
          <w:color w:val="000000"/>
        </w:rPr>
      </w:pPr>
    </w:p>
    <w:p w14:paraId="51AF39D2" w14:textId="0EC5DE3D" w:rsidR="00187AD6" w:rsidRDefault="004C04DE">
      <w:pPr>
        <w:pBdr>
          <w:top w:val="nil"/>
          <w:left w:val="nil"/>
          <w:bottom w:val="nil"/>
          <w:right w:val="nil"/>
          <w:between w:val="nil"/>
        </w:pBdr>
        <w:spacing w:after="0" w:line="240" w:lineRule="auto"/>
        <w:ind w:hanging="2"/>
        <w:jc w:val="right"/>
        <w:rPr>
          <w:color w:val="000000"/>
        </w:rPr>
      </w:pPr>
      <w:r>
        <w:rPr>
          <w:color w:val="000000"/>
        </w:rPr>
        <w:t xml:space="preserve">Warszawa, </w:t>
      </w:r>
      <w:r w:rsidR="00876659">
        <w:rPr>
          <w:color w:val="000000"/>
        </w:rPr>
        <w:t>10</w:t>
      </w:r>
      <w:r>
        <w:rPr>
          <w:color w:val="000000"/>
        </w:rPr>
        <w:t>.0</w:t>
      </w:r>
      <w:r w:rsidR="00F31B0F">
        <w:rPr>
          <w:color w:val="000000"/>
        </w:rPr>
        <w:t>4</w:t>
      </w:r>
      <w:r>
        <w:rPr>
          <w:color w:val="000000"/>
        </w:rPr>
        <w:t>.2026</w:t>
      </w:r>
    </w:p>
    <w:p w14:paraId="4A4A0C26" w14:textId="77777777" w:rsidR="00187AD6" w:rsidRDefault="00187AD6">
      <w:pPr>
        <w:pBdr>
          <w:top w:val="nil"/>
          <w:left w:val="nil"/>
          <w:bottom w:val="nil"/>
          <w:right w:val="nil"/>
          <w:between w:val="nil"/>
        </w:pBdr>
        <w:spacing w:after="0" w:line="240" w:lineRule="auto"/>
        <w:ind w:hanging="2"/>
        <w:rPr>
          <w:color w:val="000000"/>
        </w:rPr>
      </w:pPr>
    </w:p>
    <w:p w14:paraId="3F136BD7" w14:textId="77777777" w:rsidR="008037BF" w:rsidRDefault="008037BF" w:rsidP="008037BF">
      <w:pPr>
        <w:pBdr>
          <w:top w:val="nil"/>
          <w:left w:val="nil"/>
          <w:bottom w:val="nil"/>
          <w:right w:val="nil"/>
          <w:between w:val="nil"/>
        </w:pBdr>
        <w:spacing w:after="0" w:line="240" w:lineRule="auto"/>
        <w:ind w:left="8" w:hanging="2"/>
        <w:rPr>
          <w:color w:val="000000"/>
        </w:rPr>
      </w:pPr>
    </w:p>
    <w:p w14:paraId="40846FE2" w14:textId="77777777" w:rsidR="00D073C5" w:rsidRPr="008037BF" w:rsidRDefault="00D073C5" w:rsidP="008037BF">
      <w:pPr>
        <w:pBdr>
          <w:top w:val="nil"/>
          <w:left w:val="nil"/>
          <w:bottom w:val="nil"/>
          <w:right w:val="nil"/>
          <w:between w:val="nil"/>
        </w:pBdr>
        <w:spacing w:after="0" w:line="240" w:lineRule="auto"/>
        <w:ind w:left="8" w:hanging="2"/>
        <w:rPr>
          <w:color w:val="000000"/>
        </w:rPr>
      </w:pPr>
    </w:p>
    <w:p w14:paraId="671CE986" w14:textId="77777777" w:rsidR="008037BF" w:rsidRPr="008037BF" w:rsidRDefault="008037BF" w:rsidP="008037BF">
      <w:pPr>
        <w:pBdr>
          <w:top w:val="nil"/>
          <w:left w:val="nil"/>
          <w:bottom w:val="nil"/>
          <w:right w:val="nil"/>
          <w:between w:val="nil"/>
        </w:pBdr>
        <w:spacing w:after="0" w:line="276" w:lineRule="auto"/>
        <w:ind w:left="18" w:hanging="2"/>
        <w:jc w:val="center"/>
        <w:rPr>
          <w:rFonts w:ascii="Arial" w:hAnsi="Arial" w:cs="Arial"/>
          <w:color w:val="000000"/>
        </w:rPr>
      </w:pPr>
      <w:r w:rsidRPr="008037BF">
        <w:rPr>
          <w:rFonts w:ascii="Arial" w:hAnsi="Arial" w:cs="Arial"/>
          <w:color w:val="000000"/>
        </w:rPr>
        <w:t>Sz.P. Jarosław Neneman</w:t>
      </w:r>
    </w:p>
    <w:p w14:paraId="5B37B263" w14:textId="77777777" w:rsidR="008037BF" w:rsidRPr="008037BF" w:rsidRDefault="008037BF" w:rsidP="008037BF">
      <w:pPr>
        <w:pBdr>
          <w:top w:val="nil"/>
          <w:left w:val="nil"/>
          <w:bottom w:val="nil"/>
          <w:right w:val="nil"/>
          <w:between w:val="nil"/>
        </w:pBdr>
        <w:spacing w:after="0" w:line="276" w:lineRule="auto"/>
        <w:ind w:left="18" w:hanging="2"/>
        <w:jc w:val="center"/>
        <w:rPr>
          <w:rFonts w:ascii="Arial" w:hAnsi="Arial" w:cs="Arial"/>
          <w:color w:val="000000"/>
        </w:rPr>
      </w:pPr>
      <w:r w:rsidRPr="008037BF">
        <w:rPr>
          <w:rFonts w:ascii="Arial" w:hAnsi="Arial" w:cs="Arial"/>
          <w:color w:val="000000"/>
        </w:rPr>
        <w:t>Podsekretarz Stanu</w:t>
      </w:r>
    </w:p>
    <w:p w14:paraId="02C371B6" w14:textId="77777777" w:rsidR="008037BF" w:rsidRPr="008037BF" w:rsidRDefault="008037BF" w:rsidP="008037BF">
      <w:pPr>
        <w:pBdr>
          <w:top w:val="nil"/>
          <w:left w:val="nil"/>
          <w:bottom w:val="nil"/>
          <w:right w:val="nil"/>
          <w:between w:val="nil"/>
        </w:pBdr>
        <w:spacing w:after="0" w:line="276" w:lineRule="auto"/>
        <w:ind w:left="18" w:hanging="2"/>
        <w:jc w:val="center"/>
        <w:rPr>
          <w:rFonts w:ascii="Arial" w:hAnsi="Arial" w:cs="Arial"/>
          <w:color w:val="000000"/>
        </w:rPr>
      </w:pPr>
      <w:r w:rsidRPr="008037BF">
        <w:rPr>
          <w:rFonts w:ascii="Arial" w:hAnsi="Arial" w:cs="Arial"/>
          <w:color w:val="000000"/>
        </w:rPr>
        <w:t>Ministerstwo Finansów</w:t>
      </w:r>
    </w:p>
    <w:p w14:paraId="1EEDFC41" w14:textId="77777777" w:rsidR="008037BF" w:rsidRPr="008037BF" w:rsidRDefault="008037BF" w:rsidP="008037BF">
      <w:pPr>
        <w:pBdr>
          <w:top w:val="nil"/>
          <w:left w:val="nil"/>
          <w:bottom w:val="nil"/>
          <w:right w:val="nil"/>
          <w:between w:val="nil"/>
        </w:pBdr>
        <w:spacing w:after="0" w:line="276" w:lineRule="auto"/>
        <w:ind w:left="8" w:hanging="2"/>
        <w:rPr>
          <w:color w:val="000000"/>
        </w:rPr>
      </w:pPr>
    </w:p>
    <w:p w14:paraId="685D24D4" w14:textId="77777777" w:rsidR="00187AD6" w:rsidRDefault="00187AD6" w:rsidP="008037BF">
      <w:pPr>
        <w:pBdr>
          <w:top w:val="nil"/>
          <w:left w:val="nil"/>
          <w:bottom w:val="nil"/>
          <w:right w:val="nil"/>
          <w:between w:val="nil"/>
        </w:pBdr>
        <w:spacing w:after="0" w:line="240" w:lineRule="auto"/>
        <w:ind w:firstLine="0"/>
        <w:rPr>
          <w:color w:val="000000"/>
        </w:rPr>
      </w:pPr>
    </w:p>
    <w:p w14:paraId="2B069202" w14:textId="77777777" w:rsidR="00D073C5" w:rsidRDefault="00D073C5" w:rsidP="008037BF">
      <w:pPr>
        <w:pBdr>
          <w:top w:val="nil"/>
          <w:left w:val="nil"/>
          <w:bottom w:val="nil"/>
          <w:right w:val="nil"/>
          <w:between w:val="nil"/>
        </w:pBdr>
        <w:spacing w:after="0" w:line="240" w:lineRule="auto"/>
        <w:ind w:firstLine="0"/>
        <w:rPr>
          <w:color w:val="000000"/>
        </w:rPr>
      </w:pPr>
    </w:p>
    <w:p w14:paraId="6F6F3FA7" w14:textId="33C515BB" w:rsidR="00D073C5"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Szanowny Panie Ministrze,</w:t>
      </w:r>
    </w:p>
    <w:p w14:paraId="39CCEF14" w14:textId="77777777" w:rsidR="00D073C5" w:rsidRPr="00876659" w:rsidRDefault="00D073C5" w:rsidP="00876659">
      <w:pPr>
        <w:shd w:val="clear" w:color="auto" w:fill="FFFFFF"/>
        <w:spacing w:before="200" w:after="200" w:line="276" w:lineRule="auto"/>
        <w:ind w:firstLine="0"/>
        <w:rPr>
          <w:rFonts w:ascii="Arial" w:hAnsi="Arial" w:cs="Arial"/>
          <w:color w:val="000000"/>
          <w:lang w:val="pl-PL"/>
        </w:rPr>
      </w:pPr>
    </w:p>
    <w:p w14:paraId="54157CCB" w14:textId="04A92913"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W związku z trwającymi konsultacjami publicznymi projektu ustawy o zmianie ustawy – Ordynacja podatkowa (nr UC 138) w imieniu</w:t>
      </w:r>
      <w:r>
        <w:rPr>
          <w:rFonts w:ascii="Arial" w:hAnsi="Arial" w:cs="Arial"/>
          <w:color w:val="000000"/>
          <w:lang w:val="pl-PL"/>
        </w:rPr>
        <w:t xml:space="preserve"> Ogólnopolskiej Federacji Organizacji Pozarządowych </w:t>
      </w:r>
      <w:r w:rsidRPr="00876659">
        <w:rPr>
          <w:rFonts w:ascii="Arial" w:hAnsi="Arial" w:cs="Arial"/>
          <w:color w:val="000000"/>
          <w:lang w:val="pl-PL"/>
        </w:rPr>
        <w:t>zgłaszamy następujące uwagi do projektu:</w:t>
      </w:r>
    </w:p>
    <w:p w14:paraId="57615BC6" w14:textId="77777777" w:rsidR="00876659" w:rsidRPr="00876659" w:rsidRDefault="00876659" w:rsidP="00876659">
      <w:pPr>
        <w:numPr>
          <w:ilvl w:val="0"/>
          <w:numId w:val="1"/>
        </w:numPr>
        <w:shd w:val="clear" w:color="auto" w:fill="FFFFFF"/>
        <w:spacing w:before="200" w:after="200" w:line="276" w:lineRule="auto"/>
        <w:rPr>
          <w:rFonts w:ascii="Arial" w:hAnsi="Arial" w:cs="Arial"/>
          <w:b/>
          <w:bCs/>
          <w:color w:val="000000"/>
          <w:lang w:val="pl-PL"/>
        </w:rPr>
      </w:pPr>
      <w:r w:rsidRPr="00876659">
        <w:rPr>
          <w:rFonts w:ascii="Arial" w:hAnsi="Arial" w:cs="Arial"/>
          <w:b/>
          <w:bCs/>
          <w:color w:val="000000"/>
          <w:lang w:val="pl-PL"/>
        </w:rPr>
        <w:t>Uwaga dot. przesłanek wyłączających odpowiedzialność subsydiarną osób trzecich:</w:t>
      </w:r>
    </w:p>
    <w:p w14:paraId="4D0AA793"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 xml:space="preserve">Z zadowoleniem przyjęliśmy próbę skonstruowania nowego podejścia do zakresu odpowiedzialności osób trzecich za zobowiązania podatkowe i przesłanek </w:t>
      </w:r>
      <w:proofErr w:type="spellStart"/>
      <w:r w:rsidRPr="00876659">
        <w:rPr>
          <w:rFonts w:ascii="Arial" w:hAnsi="Arial" w:cs="Arial"/>
          <w:color w:val="000000"/>
          <w:lang w:val="pl-PL"/>
        </w:rPr>
        <w:t>egzoneracyjnych</w:t>
      </w:r>
      <w:proofErr w:type="spellEnd"/>
      <w:r w:rsidRPr="00876659">
        <w:rPr>
          <w:rFonts w:ascii="Arial" w:hAnsi="Arial" w:cs="Arial"/>
          <w:color w:val="000000"/>
          <w:lang w:val="pl-PL"/>
        </w:rPr>
        <w:t xml:space="preserve">, zdefiniowanych w art. 116 </w:t>
      </w:r>
      <w:proofErr w:type="spellStart"/>
      <w:r w:rsidRPr="00876659">
        <w:rPr>
          <w:rFonts w:ascii="Arial" w:hAnsi="Arial" w:cs="Arial"/>
          <w:color w:val="000000"/>
          <w:lang w:val="pl-PL"/>
        </w:rPr>
        <w:t>o.p</w:t>
      </w:r>
      <w:proofErr w:type="spellEnd"/>
      <w:r w:rsidRPr="00876659">
        <w:rPr>
          <w:rFonts w:ascii="Arial" w:hAnsi="Arial" w:cs="Arial"/>
          <w:color w:val="000000"/>
          <w:lang w:val="pl-PL"/>
        </w:rPr>
        <w:t xml:space="preserve">. W szczególności interesujące wydaje się oderwanie przesłanek </w:t>
      </w:r>
      <w:proofErr w:type="spellStart"/>
      <w:r w:rsidRPr="00876659">
        <w:rPr>
          <w:rFonts w:ascii="Arial" w:hAnsi="Arial" w:cs="Arial"/>
          <w:color w:val="000000"/>
          <w:lang w:val="pl-PL"/>
        </w:rPr>
        <w:t>egzoneracyjnych</w:t>
      </w:r>
      <w:proofErr w:type="spellEnd"/>
      <w:r w:rsidRPr="00876659">
        <w:rPr>
          <w:rFonts w:ascii="Arial" w:hAnsi="Arial" w:cs="Arial"/>
          <w:color w:val="000000"/>
          <w:lang w:val="pl-PL"/>
        </w:rPr>
        <w:t xml:space="preserve"> od postępowania upadłościowego. Mamy nadzieję, że pomoże to wyeliminować niekiedy absurdalne efekty aktualnych przepisów, np. potencjalne ‘wymuszanie’ na członkach zarządu składnia faktycznie nieuzasadnionych wniosków o upadłość (nawet jeżeli z góry można przewidzieć ich oddalenie) czy też postawienie w gorszej pozycji podmiotów nie mających zdolności upadłościowej (np. stowarzyszeń nie posiadających statusu przedsiębiorcy). Szczególnie ta druga kwestia była wielokrotnie sygnalizowana np. przez niektóre organizacje pozarządowe, ale także przez Rzecznika Praw Obywatelskich. Położenie nacisku na zachowanie (w określonym rygorze) należytej staranności, na miejsce ścisłego wypełniania formalnych obowiązków przewidzianych prawem upadłościowym wydaje się właściwym kierunkiem.</w:t>
      </w:r>
    </w:p>
    <w:p w14:paraId="2CCB9AC7"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Jednocześnie postulujemy nieco zmienioną konstrukcję art. 116 § 2, która naszym zdaniem będzie lepiej oddawała intencje wskazane w uzasadnieniu do projektu. Przede wszystkim chodzi o rozdzielenie przesłanki dot. zachowania należytej staranności od sytuacji wystąpienia siły wyższej. Aktualne brzmienie może bowiem powodować pewne niejasności interpretacyjne dot. konieczności wystąpienia siły wyższej dla zachowania należytej staranności. W szczególności powstaje wątpliwość, czy konieczne jest jednoczesne spełnienie przesłanek zachowania należytej staranności oraz wystąpienia siły wyższej, czy też zachowanie należytej staranności może być przesłanką samodzielną. Proponowane, zmienione brzmienie art. 116 § 2:</w:t>
      </w:r>
    </w:p>
    <w:p w14:paraId="19FD9F1C"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i/>
          <w:iCs/>
          <w:color w:val="000000"/>
          <w:lang w:val="pl-PL"/>
        </w:rPr>
        <w:lastRenderedPageBreak/>
        <w:t>§ 2. Osoba zarządzająca spółką nie ponosi odpowiedzialności za zaległość podatkową spółki w zakresie, w jakim wykaże, że:</w:t>
      </w:r>
    </w:p>
    <w:p w14:paraId="31CDAE58" w14:textId="77777777" w:rsidR="00876659" w:rsidRPr="00876659" w:rsidRDefault="00876659" w:rsidP="00876659">
      <w:pPr>
        <w:numPr>
          <w:ilvl w:val="0"/>
          <w:numId w:val="2"/>
        </w:numPr>
        <w:shd w:val="clear" w:color="auto" w:fill="FFFFFF"/>
        <w:spacing w:before="200" w:after="200" w:line="276" w:lineRule="auto"/>
        <w:rPr>
          <w:rFonts w:ascii="Arial" w:hAnsi="Arial" w:cs="Arial"/>
          <w:color w:val="000000"/>
          <w:lang w:val="pl-PL"/>
        </w:rPr>
      </w:pPr>
      <w:r w:rsidRPr="00876659">
        <w:rPr>
          <w:rFonts w:ascii="Arial" w:hAnsi="Arial" w:cs="Arial"/>
          <w:i/>
          <w:iCs/>
          <w:color w:val="000000"/>
          <w:lang w:val="pl-PL"/>
        </w:rPr>
        <w:t>dochowała należytej staranności w pełnieniu obowiązków w spółce lub faktycznym zarządzaniu spółką w celu zapobieżenia powstaniu zaległości podatkowej, lub</w:t>
      </w:r>
    </w:p>
    <w:p w14:paraId="3AA63026" w14:textId="77777777" w:rsidR="00876659" w:rsidRPr="00876659" w:rsidRDefault="00876659" w:rsidP="00876659">
      <w:pPr>
        <w:numPr>
          <w:ilvl w:val="0"/>
          <w:numId w:val="2"/>
        </w:numPr>
        <w:shd w:val="clear" w:color="auto" w:fill="FFFFFF"/>
        <w:spacing w:before="200" w:after="200" w:line="276" w:lineRule="auto"/>
        <w:rPr>
          <w:rFonts w:ascii="Arial" w:hAnsi="Arial" w:cs="Arial"/>
          <w:color w:val="000000"/>
          <w:lang w:val="pl-PL"/>
        </w:rPr>
      </w:pPr>
      <w:r w:rsidRPr="00876659">
        <w:rPr>
          <w:rFonts w:ascii="Arial" w:hAnsi="Arial" w:cs="Arial"/>
          <w:i/>
          <w:iCs/>
          <w:color w:val="000000"/>
          <w:lang w:val="pl-PL"/>
        </w:rPr>
        <w:t>zaległość podatkowa powstała wskutek zdarzeń o charakterze siły wyższej, lub</w:t>
      </w:r>
    </w:p>
    <w:p w14:paraId="3E6D0641" w14:textId="0374AC35" w:rsidR="00876659" w:rsidRPr="00876659" w:rsidRDefault="00876659" w:rsidP="00D073C5">
      <w:pPr>
        <w:numPr>
          <w:ilvl w:val="0"/>
          <w:numId w:val="2"/>
        </w:numPr>
        <w:shd w:val="clear" w:color="auto" w:fill="FFFFFF"/>
        <w:spacing w:before="200" w:after="200" w:line="276" w:lineRule="auto"/>
        <w:rPr>
          <w:rFonts w:ascii="Arial" w:hAnsi="Arial" w:cs="Arial"/>
          <w:color w:val="000000"/>
          <w:lang w:val="pl-PL"/>
        </w:rPr>
      </w:pPr>
      <w:r w:rsidRPr="00876659">
        <w:rPr>
          <w:rFonts w:ascii="Arial" w:hAnsi="Arial" w:cs="Arial"/>
          <w:i/>
          <w:iCs/>
          <w:color w:val="000000"/>
          <w:lang w:val="pl-PL"/>
        </w:rPr>
        <w:t>przed wszczęciem postępowania w sprawie odpowiedzialności tej osoby zarządzającej za zaległość podatkową spółki podjęła działania, które doprowadziły do zmniejszenia wysokości tej zaległości w przeważającej części.</w:t>
      </w:r>
    </w:p>
    <w:p w14:paraId="7795B843" w14:textId="7305804A" w:rsidR="00876659" w:rsidRPr="00D073C5" w:rsidRDefault="00876659" w:rsidP="00D073C5">
      <w:pPr>
        <w:pStyle w:val="Akapitzlist"/>
        <w:numPr>
          <w:ilvl w:val="0"/>
          <w:numId w:val="1"/>
        </w:numPr>
        <w:shd w:val="clear" w:color="auto" w:fill="FFFFFF"/>
        <w:spacing w:before="200" w:after="200" w:line="276" w:lineRule="auto"/>
        <w:rPr>
          <w:rFonts w:ascii="Arial" w:hAnsi="Arial" w:cs="Arial"/>
          <w:b/>
          <w:bCs/>
          <w:color w:val="000000"/>
          <w:lang w:val="pl-PL"/>
        </w:rPr>
      </w:pPr>
      <w:r w:rsidRPr="00D073C5">
        <w:rPr>
          <w:rFonts w:ascii="Arial" w:hAnsi="Arial" w:cs="Arial"/>
          <w:b/>
          <w:bCs/>
          <w:color w:val="000000"/>
          <w:lang w:val="pl-PL"/>
        </w:rPr>
        <w:t>Uwaga dot. dostosowania przepisów krajowych do orzecznictwa TSUE:</w:t>
      </w:r>
    </w:p>
    <w:p w14:paraId="188752EC" w14:textId="23BA9023"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Z zadowoleniem odnotowaliśmy także próbę dostosowania aktualnych przepisów krajowych (nowy art. 116 § 6) do orzecznictwa TSUE, w szczególności wyroku C-277/24, poprzez umożliwienie osobom potencjalnie odpowiedzialnym subsydiarnie wykazania nieistnienia (bądź istnienia w innej wysokości) należności głównej, jeżeli nie zostało to wykazane na wcześniejszym etapie sprawy.</w:t>
      </w:r>
    </w:p>
    <w:p w14:paraId="1A84F13E" w14:textId="492D8F05" w:rsidR="00876659" w:rsidRPr="00D073C5" w:rsidRDefault="00876659" w:rsidP="00D073C5">
      <w:pPr>
        <w:pStyle w:val="Akapitzlist"/>
        <w:numPr>
          <w:ilvl w:val="0"/>
          <w:numId w:val="1"/>
        </w:numPr>
        <w:shd w:val="clear" w:color="auto" w:fill="FFFFFF"/>
        <w:spacing w:before="200" w:after="200" w:line="276" w:lineRule="auto"/>
        <w:rPr>
          <w:rFonts w:ascii="Arial" w:hAnsi="Arial" w:cs="Arial"/>
          <w:b/>
          <w:bCs/>
          <w:color w:val="000000"/>
          <w:lang w:val="pl-PL"/>
        </w:rPr>
      </w:pPr>
      <w:r w:rsidRPr="00D073C5">
        <w:rPr>
          <w:rFonts w:ascii="Arial" w:hAnsi="Arial" w:cs="Arial"/>
          <w:b/>
          <w:bCs/>
          <w:color w:val="000000"/>
          <w:lang w:val="pl-PL"/>
        </w:rPr>
        <w:t>Uwaga dot. umożliwienia wcześniejszego dokonania zabezpieczenia na majątku osoby trzeciej:</w:t>
      </w:r>
    </w:p>
    <w:p w14:paraId="79279244"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 xml:space="preserve">Z dużym niepokojem przyjmujemy natomiast zapowiedź zmiany w art. 33b pkt 2 </w:t>
      </w:r>
      <w:proofErr w:type="spellStart"/>
      <w:r w:rsidRPr="00876659">
        <w:rPr>
          <w:rFonts w:ascii="Arial" w:hAnsi="Arial" w:cs="Arial"/>
          <w:color w:val="000000"/>
          <w:lang w:val="pl-PL"/>
        </w:rPr>
        <w:t>o.p</w:t>
      </w:r>
      <w:proofErr w:type="spellEnd"/>
      <w:r w:rsidRPr="00876659">
        <w:rPr>
          <w:rFonts w:ascii="Arial" w:hAnsi="Arial" w:cs="Arial"/>
          <w:color w:val="000000"/>
          <w:lang w:val="pl-PL"/>
        </w:rPr>
        <w:t>., których celem jest umożliwienie dokonania zabezpieczeniu na majątku osoby, która potencjalnie mogłaby odpowiadać subsydiarnie za zobowiązania podatkowe spółki. Opowiadamy się za pozostawieniem dotychczasowego rozwiązania, w którym zabezpieczenie może być ustanowione po doręczeniu decyzji orzekającej o odpowiedzialności za zaległości podatkowe.</w:t>
      </w:r>
    </w:p>
    <w:p w14:paraId="7E232420"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Należy podkreślić, że zobowiązanie podatkowe osoby trzeciej ma charakter subsydiarny i potencjalny, nie można go więc w praktyce zrównywać z odpowiedzialnością podatnika. Ustanowienie zabezpieczenia na majątku jest bardzo dotkliwą ingerencją w podstawowe prawa i możliwości bieżącego funkcjonowania każdego obywatela.</w:t>
      </w:r>
    </w:p>
    <w:p w14:paraId="69783636" w14:textId="5D771396"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 xml:space="preserve">Przed wydaniem decyzji orzekającej o odpowiedzialności osoby trzeciej odpowiedzialność ta nie jest jeszcze skonkretyzowana, a co najwyżej potencjalna. Nie można więc zgodzić się z argumentacją, że proponowane rozwiązanie należycie wyważa uzasadnione prawa i interesy osób trzecich oraz wierzyciela podatkowego zgodnie z zasadą proporcjonalności. Wręcz przeciwnie, umożliwienie założenia zabezpieczenia na majątku już na wczesnym etapie prowadzenia postępowania wydaje się nadmiarowym uprawnieniem organów skarbowych, które jest absolutnie nieproporcjonalne do potencjalnych szkód, które może ponieść osoba trzecia, której odpowiedzialność, jeszcze raz podkreślmy, jest tylko subsydiarna i potencjalna. Istnieje duże zagrożenie, że instrument ten będzie wykorzystywany instrumentalnie, niejako ‘na wszelki wypadek’. Może to spowodować nieodwracalne straty, zarówno majątkowe, jak i innego rodzaju (np. zdrowotne, rodzinne) u osób, których odpowiedzialność nie została jeszcze stwierdzona i udowodniona. Argument o potencjalnym zabezpieczeniu interesu budżetu państwa nie może uzasadniać drastycznej ingerencji w prawa jednostki i nie może odbywać się jej kosztem. Szczególnie, że nie jest prawdą, iż państwo nie posiada innych </w:t>
      </w:r>
      <w:r w:rsidRPr="00876659">
        <w:rPr>
          <w:rFonts w:ascii="Arial" w:hAnsi="Arial" w:cs="Arial"/>
          <w:color w:val="000000"/>
          <w:lang w:val="pl-PL"/>
        </w:rPr>
        <w:lastRenderedPageBreak/>
        <w:t xml:space="preserve">narzędzi umożliwiających zapobieganie nadużyciom w postaci wcześniejszego ‘wyprowadzania’ majątku. Taką możliwością jest np. korzystanie z możliwości przewidzianej art. 527 kodeksu cywilnego (tzw. ‘skarga </w:t>
      </w:r>
      <w:proofErr w:type="spellStart"/>
      <w:r w:rsidRPr="00876659">
        <w:rPr>
          <w:rFonts w:ascii="Arial" w:hAnsi="Arial" w:cs="Arial"/>
          <w:color w:val="000000"/>
          <w:lang w:val="pl-PL"/>
        </w:rPr>
        <w:t>pauliańska</w:t>
      </w:r>
      <w:proofErr w:type="spellEnd"/>
      <w:r w:rsidRPr="00876659">
        <w:rPr>
          <w:rFonts w:ascii="Arial" w:hAnsi="Arial" w:cs="Arial"/>
          <w:color w:val="000000"/>
          <w:lang w:val="pl-PL"/>
        </w:rPr>
        <w:t xml:space="preserve">’) – należy przy tym zaznaczyć, że organy podatkowe przez wiele lat udowadniały, że narzędzie to można stosować także do zobowiązań publicznoprawnych, co zostało potwierdzone wyrokiem Trybunału Konstytucyjnego z 18 kwietnia 2018 roku </w:t>
      </w:r>
      <w:r w:rsidRPr="00876659">
        <w:rPr>
          <w:rFonts w:ascii="Arial" w:hAnsi="Arial" w:cs="Arial"/>
          <w:color w:val="000000"/>
          <w:lang w:val="pl-PL"/>
        </w:rPr>
        <w:br/>
        <w:t>(K 52/16). Organy podatkowe powinny więc skoncentrować się na już dostępnych możliwościach, zamiast poszerzać po raz kolejny swoje uprawnienia względem obywateli.</w:t>
      </w:r>
    </w:p>
    <w:p w14:paraId="43C4AE40" w14:textId="7B61CAAC" w:rsidR="00876659" w:rsidRPr="00D073C5" w:rsidRDefault="00876659" w:rsidP="00D073C5">
      <w:pPr>
        <w:pStyle w:val="Akapitzlist"/>
        <w:numPr>
          <w:ilvl w:val="0"/>
          <w:numId w:val="1"/>
        </w:numPr>
        <w:shd w:val="clear" w:color="auto" w:fill="FFFFFF"/>
        <w:spacing w:before="200" w:after="200" w:line="276" w:lineRule="auto"/>
        <w:rPr>
          <w:rFonts w:ascii="Arial" w:hAnsi="Arial" w:cs="Arial"/>
          <w:b/>
          <w:bCs/>
          <w:color w:val="000000"/>
          <w:lang w:val="pl-PL"/>
        </w:rPr>
      </w:pPr>
      <w:r w:rsidRPr="00D073C5">
        <w:rPr>
          <w:rFonts w:ascii="Arial" w:hAnsi="Arial" w:cs="Arial"/>
          <w:b/>
          <w:bCs/>
          <w:color w:val="000000"/>
          <w:lang w:val="pl-PL"/>
        </w:rPr>
        <w:t>Uwaga dot. wydłużenia okresu przedawnienia:</w:t>
      </w:r>
    </w:p>
    <w:p w14:paraId="056991CE" w14:textId="577E2A3C"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 xml:space="preserve">Sprzeciwiamy się także wydłużeniu okresu przedawnienia, o którym mowa w art. 118.1 </w:t>
      </w:r>
      <w:proofErr w:type="spellStart"/>
      <w:r w:rsidRPr="00876659">
        <w:rPr>
          <w:rFonts w:ascii="Arial" w:hAnsi="Arial" w:cs="Arial"/>
          <w:color w:val="000000"/>
          <w:lang w:val="pl-PL"/>
        </w:rPr>
        <w:t>o.p</w:t>
      </w:r>
      <w:proofErr w:type="spellEnd"/>
      <w:r w:rsidRPr="00876659">
        <w:rPr>
          <w:rFonts w:ascii="Arial" w:hAnsi="Arial" w:cs="Arial"/>
          <w:color w:val="000000"/>
          <w:lang w:val="pl-PL"/>
        </w:rPr>
        <w:t xml:space="preserve">. Argumentacja w postaci potencjalnego skomplikowania, a więc w efekcie także możliwego wydłużenia postępowania w związku z nową konstrukcją art. 116 </w:t>
      </w:r>
      <w:proofErr w:type="spellStart"/>
      <w:r w:rsidRPr="00876659">
        <w:rPr>
          <w:rFonts w:ascii="Arial" w:hAnsi="Arial" w:cs="Arial"/>
          <w:color w:val="000000"/>
          <w:lang w:val="pl-PL"/>
        </w:rPr>
        <w:t>o.p</w:t>
      </w:r>
      <w:proofErr w:type="spellEnd"/>
      <w:r w:rsidRPr="00876659">
        <w:rPr>
          <w:rFonts w:ascii="Arial" w:hAnsi="Arial" w:cs="Arial"/>
          <w:color w:val="000000"/>
          <w:lang w:val="pl-PL"/>
        </w:rPr>
        <w:t xml:space="preserve">. jest całkowicie nieprzekonująca. Należy zauważyć, że organy państwa, w związku z wprowadzanymi w ostatnich latach głębokimi zmianami systemu rozliczeń podatkowych i systemu kontroli dysponują dzisiaj znacznie skuteczniejszymi i szybszymi możliwościami identyfikowania i analizowania ew. zaległości lub nieprawidłowości podatkowych. Do tych narzędzi należy m.in. zaawansowana cyfryzacja rozliczeń, w tym np. </w:t>
      </w:r>
      <w:proofErr w:type="spellStart"/>
      <w:r w:rsidRPr="00876659">
        <w:rPr>
          <w:rFonts w:ascii="Arial" w:hAnsi="Arial" w:cs="Arial"/>
          <w:color w:val="000000"/>
          <w:lang w:val="pl-PL"/>
        </w:rPr>
        <w:t>KSeF</w:t>
      </w:r>
      <w:proofErr w:type="spellEnd"/>
      <w:r w:rsidRPr="00876659">
        <w:rPr>
          <w:rFonts w:ascii="Arial" w:hAnsi="Arial" w:cs="Arial"/>
          <w:color w:val="000000"/>
          <w:lang w:val="pl-PL"/>
        </w:rPr>
        <w:t>, JPK, stosowanie algorytmów i narzędzi cyfrowych do analiz itd. Narzędzia te są zresztą wdrażane także przy konieczności ponoszenia znacznego nakładu finansowego i czasowego ze strony przedsiębiorców i obywateli. W związku z tym zasadne wydaje się raczej podjęcie dyskusji o skracaniu okresów przedawnień, a nie o ich wydłużania. Przy aktualnych możliwościach technicznych i analitycznych, w rozwoju których, jak wskazano, uczestniczyli także obywatele, nie widać bowiem argumentów za utrzymywaniem przez administrację publiczną przywileju w postaci gwarantowania sobie tak długich okresów przedawnień. Trzeba zwrócić uwagę, że z biegiem czasu możliwości aktywnej obrony obywateli przed nieuzasadnionymi zarzutami są coraz bardziej ograniczone, np. ze względu na trudności z dotarciem do odpowiednich dowodów, dokumentów (w obiegu funkcjonuje wiele umów, które zobowiązują do przechowywania dokumentacji przez 5 lat), czy nawet pogorszenie stanu zdrowia. Wiąże się to także z dodatkowymi kosztami dla obywateli (porady prawne, potencjalne kumulowanie odsetek). Obywatele powinni mieć zapewnione prawo do stabilności swojej sytuacji prawnej i przewidywalności działań organów państwa, w tym do zagwarantowania, że po upływie rozsądnego czasu, państwo nie będzie kwestionowało zdarzeń, które miały miejsce dawno temu i często są już trudne do prawidłowego odtworzenia. Obywatel ma prawo do uzyskania w rozsądnym czasie informacji jak ostatecznie wygląda jego sytuacja prawna, w tym jakie kroki lub sankcje będą nakładały na niego organy państwa, a czas ewentualnej niepewności powinien być skracany do minimum. Państwo nie może obciążać obywateli konsekwencjami przewlekłości w dochodzeniu swoich praw, byłoby to niekorzystne nie tylko dla pojedynczych obywateli, ale pośrednio także dla całej gospodarki i jej rozwoju.</w:t>
      </w:r>
      <w:bookmarkStart w:id="0" w:name="Bookmark"/>
      <w:bookmarkEnd w:id="0"/>
    </w:p>
    <w:p w14:paraId="3E0B3439" w14:textId="3B333588" w:rsidR="00876659" w:rsidRPr="00D073C5" w:rsidRDefault="00876659" w:rsidP="00D073C5">
      <w:pPr>
        <w:pStyle w:val="Akapitzlist"/>
        <w:numPr>
          <w:ilvl w:val="0"/>
          <w:numId w:val="1"/>
        </w:numPr>
        <w:shd w:val="clear" w:color="auto" w:fill="FFFFFF"/>
        <w:spacing w:before="200" w:after="200" w:line="276" w:lineRule="auto"/>
        <w:rPr>
          <w:rFonts w:ascii="Arial" w:hAnsi="Arial" w:cs="Arial"/>
          <w:b/>
          <w:bCs/>
          <w:color w:val="000000"/>
          <w:lang w:val="pl-PL"/>
        </w:rPr>
      </w:pPr>
      <w:r w:rsidRPr="00D073C5">
        <w:rPr>
          <w:rFonts w:ascii="Arial" w:hAnsi="Arial" w:cs="Arial"/>
          <w:b/>
          <w:bCs/>
          <w:color w:val="000000"/>
          <w:lang w:val="pl-PL"/>
        </w:rPr>
        <w:t>Uwaga dot. konstrukcji wyznaczania standardów należytej staranności:</w:t>
      </w:r>
    </w:p>
    <w:p w14:paraId="4EDF44E0"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W uzasadnieniu ustawy wskazano, że zgodnie z projektowanym art. 116 § 3 pkt 2 ustawy ‘organ podatkowy nie bada zatem zakresu zadań, którymi zajmowała się w spółce dana osoba trzecia, lecz bada, czy osoba taka postępowała w sposób właściwy osobie powołanej do prowadzenia ogółu spraw spółki’. Intencją ustawodawcy jest więc przeciwdziałanie sytuacjom, w którym osoby zarządzające odpowiadające jedynie za określony wycinek spraw spółki, próbują zwolnić się z odpowiedzialności subsydiarnej za zobowiązania powstałe w związku ze sprawami, które pozostawały poza tym wycinkiem.</w:t>
      </w:r>
    </w:p>
    <w:p w14:paraId="66621ADE"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lastRenderedPageBreak/>
        <w:t>Przyjmując celowość projektowanych przepisów wydaje się, że właściwsza byłaby ich inna redakcja. Projektowany art. 116 § 3 pkt 2 ustawy wskazuje bowiem, że zachowanie należytej staranności wymaga aby każda osoba zarządzająca przyjęła odpowiedzialność za ogół spraw spółki. Rozwiązanie to powoduje wątpliwości w jakiej formie powinno nastąpić ‘przyjęcie odpowiedzialności’ – czy wymaga ono podjęcia jakichś działań, czy też wystarczy że nie przyjęto wewnętrznego podziału odpowiedzialności. Co więcej, rodzi ono wątpliwość czy osoba formalnie odpowiedzialna jedynie za określoną część spraw, a jednak podejmująca działania opisane w § 2 ustawy może zwolnić się od odpowiedzialności.</w:t>
      </w:r>
    </w:p>
    <w:p w14:paraId="5CAD9A27"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W związku z tym proponujemy zmianę redakcji projektowanych przepisów, tj. wyłączenie art. 116 § 3 pkt 2 ustawy do odrębnego paragrafu (albo alternatywnie do odrębnego zdania w ramach paragrafu 2 albo 3) oraz wskazanie w takim przepisie, że odpowiedzialność subsydiarną ponoszą wszystkie osoby zarządzające, także w przypadku gdy miał miejsce podział spraw pomiędzy tymi osobami.</w:t>
      </w:r>
    </w:p>
    <w:p w14:paraId="0AFFAC67"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r w:rsidRPr="00876659">
        <w:rPr>
          <w:rFonts w:ascii="Arial" w:hAnsi="Arial" w:cs="Arial"/>
          <w:color w:val="000000"/>
          <w:lang w:val="pl-PL"/>
        </w:rPr>
        <w:t>Zmienione przepisy mogłyby mieć następujący kształt:</w:t>
      </w:r>
    </w:p>
    <w:p w14:paraId="0D85A3EB" w14:textId="77777777" w:rsidR="00876659" w:rsidRPr="00876659" w:rsidRDefault="00876659" w:rsidP="00D073C5">
      <w:pPr>
        <w:shd w:val="clear" w:color="auto" w:fill="FFFFFF"/>
        <w:spacing w:before="200" w:after="200" w:line="276" w:lineRule="auto"/>
        <w:ind w:left="720" w:firstLine="0"/>
        <w:rPr>
          <w:rFonts w:ascii="Arial" w:hAnsi="Arial" w:cs="Arial"/>
          <w:color w:val="000000"/>
          <w:lang w:val="pl-PL"/>
        </w:rPr>
      </w:pPr>
      <w:r w:rsidRPr="00876659">
        <w:rPr>
          <w:rFonts w:ascii="Arial" w:hAnsi="Arial" w:cs="Arial"/>
          <w:i/>
          <w:iCs/>
          <w:color w:val="000000"/>
          <w:lang w:val="pl-PL"/>
        </w:rPr>
        <w:t>§ 3. Każda osoba zarządzająca ponosi odpowiedzialność o której mowa § 1 w odniesieniu do ogółu spraw spółki, także w przypadku gdy wskazano osobę lub osoby odpowiedzialne za prowadzenie określonych spraw spółki.</w:t>
      </w:r>
    </w:p>
    <w:p w14:paraId="5AEE2032" w14:textId="77777777" w:rsidR="00876659" w:rsidRPr="00876659" w:rsidRDefault="00876659" w:rsidP="00D073C5">
      <w:pPr>
        <w:shd w:val="clear" w:color="auto" w:fill="FFFFFF"/>
        <w:spacing w:before="200" w:after="200" w:line="276" w:lineRule="auto"/>
        <w:ind w:left="720" w:firstLine="0"/>
        <w:rPr>
          <w:rFonts w:ascii="Arial" w:hAnsi="Arial" w:cs="Arial"/>
          <w:color w:val="000000"/>
          <w:lang w:val="pl-PL"/>
        </w:rPr>
      </w:pPr>
      <w:r w:rsidRPr="00876659">
        <w:rPr>
          <w:rFonts w:ascii="Arial" w:hAnsi="Arial" w:cs="Arial"/>
          <w:i/>
          <w:iCs/>
          <w:color w:val="000000"/>
          <w:lang w:val="pl-PL"/>
        </w:rPr>
        <w:t>§ 4. Standard należytej staranności, o której mowa w § 2, wyznacza się przy uwzględnieniu, że pełnienie obowiązków w spółce oraz faktyczne zarządzanie spółką przez osobę zarządzającą wymaga co najmniej:</w:t>
      </w:r>
    </w:p>
    <w:p w14:paraId="7C561658" w14:textId="77777777" w:rsidR="00876659" w:rsidRPr="00876659" w:rsidRDefault="00876659" w:rsidP="00D073C5">
      <w:pPr>
        <w:shd w:val="clear" w:color="auto" w:fill="FFFFFF"/>
        <w:spacing w:before="200" w:after="200" w:line="276" w:lineRule="auto"/>
        <w:ind w:left="720" w:firstLine="0"/>
        <w:rPr>
          <w:rFonts w:ascii="Arial" w:hAnsi="Arial" w:cs="Arial"/>
          <w:color w:val="000000"/>
          <w:lang w:val="pl-PL"/>
        </w:rPr>
      </w:pPr>
      <w:r w:rsidRPr="00876659">
        <w:rPr>
          <w:rFonts w:ascii="Arial" w:hAnsi="Arial" w:cs="Arial"/>
          <w:i/>
          <w:iCs/>
          <w:color w:val="000000"/>
          <w:lang w:val="pl-PL"/>
        </w:rPr>
        <w:t>1) posiadania kwalifikacji, w tym wiedzy i umiejętności, odpowiednich do pełnienia tych obowiązków w spółce i faktycznego zarządzania spółką;</w:t>
      </w:r>
    </w:p>
    <w:p w14:paraId="0DA43BA9" w14:textId="77777777" w:rsidR="00876659" w:rsidRPr="00876659" w:rsidRDefault="00876659" w:rsidP="00D073C5">
      <w:pPr>
        <w:shd w:val="clear" w:color="auto" w:fill="FFFFFF"/>
        <w:spacing w:before="200" w:after="200" w:line="276" w:lineRule="auto"/>
        <w:ind w:left="720" w:firstLine="0"/>
        <w:rPr>
          <w:rFonts w:ascii="Arial" w:hAnsi="Arial" w:cs="Arial"/>
          <w:color w:val="000000"/>
          <w:lang w:val="pl-PL"/>
        </w:rPr>
      </w:pPr>
      <w:r w:rsidRPr="00876659">
        <w:rPr>
          <w:rFonts w:ascii="Arial" w:hAnsi="Arial" w:cs="Arial"/>
          <w:i/>
          <w:iCs/>
          <w:color w:val="000000"/>
          <w:lang w:val="pl-PL"/>
        </w:rPr>
        <w:t>2) wdrożenia w spółce skutecznego i adekwatnego ładu organizacyjnego gwarantującego prawidłowość realizacji obowiązków spółki z zakresu prawa podatkowego.</w:t>
      </w:r>
    </w:p>
    <w:p w14:paraId="70918873"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p>
    <w:p w14:paraId="1A2C9D9D"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p>
    <w:p w14:paraId="3CA75100" w14:textId="77777777" w:rsidR="00876659" w:rsidRPr="00876659" w:rsidRDefault="00876659" w:rsidP="00876659">
      <w:pPr>
        <w:shd w:val="clear" w:color="auto" w:fill="FFFFFF"/>
        <w:spacing w:before="200" w:after="200" w:line="276" w:lineRule="auto"/>
        <w:ind w:firstLine="0"/>
        <w:rPr>
          <w:rFonts w:ascii="Arial" w:hAnsi="Arial" w:cs="Arial"/>
          <w:color w:val="000000"/>
          <w:lang w:val="pl-PL"/>
        </w:rPr>
      </w:pPr>
    </w:p>
    <w:p w14:paraId="201FFC9A" w14:textId="486B7CB1" w:rsidR="00187AD6" w:rsidRDefault="00F31B0F">
      <w:pPr>
        <w:shd w:val="clear" w:color="auto" w:fill="FFFFFF"/>
        <w:spacing w:before="200" w:after="200" w:line="276" w:lineRule="auto"/>
        <w:ind w:firstLine="0"/>
        <w:rPr>
          <w:rFonts w:ascii="Arial" w:eastAsia="Arial" w:hAnsi="Arial" w:cs="Arial"/>
          <w:color w:val="222222"/>
        </w:rPr>
      </w:pPr>
      <w:r>
        <w:rPr>
          <w:rFonts w:ascii="Arial" w:eastAsia="Arial" w:hAnsi="Arial" w:cs="Arial"/>
          <w:color w:val="222222"/>
        </w:rPr>
        <w:t xml:space="preserve">                                                                                                               </w:t>
      </w:r>
      <w:r w:rsidR="004C04DE">
        <w:rPr>
          <w:rFonts w:ascii="Arial" w:eastAsia="Arial" w:hAnsi="Arial" w:cs="Arial"/>
          <w:color w:val="222222"/>
        </w:rPr>
        <w:t>Z wyrazami szacunku,</w:t>
      </w:r>
    </w:p>
    <w:p w14:paraId="0D3CBF7C" w14:textId="6B61F344" w:rsidR="00F31B0F" w:rsidRDefault="00F31B0F">
      <w:pPr>
        <w:shd w:val="clear" w:color="auto" w:fill="FFFFFF"/>
        <w:spacing w:before="200" w:after="200" w:line="276" w:lineRule="auto"/>
        <w:ind w:firstLine="0"/>
        <w:rPr>
          <w:color w:val="000000"/>
        </w:rPr>
      </w:pPr>
      <w:r>
        <w:rPr>
          <w:rFonts w:ascii="Arial" w:eastAsia="Arial" w:hAnsi="Arial" w:cs="Arial"/>
          <w:color w:val="222222"/>
        </w:rPr>
        <w:t xml:space="preserve">                                                                                                                    Rafał Kowalski</w:t>
      </w:r>
    </w:p>
    <w:p w14:paraId="062A6CFA" w14:textId="77777777" w:rsidR="00187AD6" w:rsidRDefault="00187AD6">
      <w:pPr>
        <w:pBdr>
          <w:top w:val="nil"/>
          <w:left w:val="nil"/>
          <w:bottom w:val="nil"/>
          <w:right w:val="nil"/>
          <w:between w:val="nil"/>
        </w:pBdr>
        <w:spacing w:before="100" w:after="0" w:line="240" w:lineRule="auto"/>
        <w:ind w:hanging="2"/>
        <w:jc w:val="right"/>
        <w:rPr>
          <w:color w:val="000000"/>
        </w:rPr>
      </w:pPr>
    </w:p>
    <w:p w14:paraId="24A35BCF" w14:textId="77777777" w:rsidR="00187AD6" w:rsidRDefault="00187AD6">
      <w:pPr>
        <w:pBdr>
          <w:top w:val="nil"/>
          <w:left w:val="nil"/>
          <w:bottom w:val="nil"/>
          <w:right w:val="nil"/>
          <w:between w:val="nil"/>
        </w:pBdr>
        <w:ind w:hanging="2"/>
        <w:jc w:val="right"/>
        <w:rPr>
          <w:color w:val="000000"/>
        </w:rPr>
      </w:pPr>
    </w:p>
    <w:p w14:paraId="2A05D563" w14:textId="77777777" w:rsidR="00187AD6" w:rsidRDefault="00187AD6">
      <w:pPr>
        <w:pBdr>
          <w:top w:val="nil"/>
          <w:left w:val="nil"/>
          <w:bottom w:val="nil"/>
          <w:right w:val="nil"/>
          <w:between w:val="nil"/>
        </w:pBdr>
        <w:ind w:hanging="2"/>
        <w:rPr>
          <w:color w:val="000000"/>
        </w:rPr>
      </w:pPr>
    </w:p>
    <w:p w14:paraId="3CD811DA" w14:textId="77777777" w:rsidR="00187AD6" w:rsidRDefault="004C04DE">
      <w:pPr>
        <w:pBdr>
          <w:top w:val="nil"/>
          <w:left w:val="nil"/>
          <w:bottom w:val="nil"/>
          <w:right w:val="nil"/>
          <w:between w:val="nil"/>
        </w:pBdr>
        <w:tabs>
          <w:tab w:val="left" w:pos="8130"/>
        </w:tabs>
        <w:ind w:hanging="2"/>
        <w:rPr>
          <w:color w:val="000000"/>
        </w:rPr>
      </w:pPr>
      <w:r>
        <w:rPr>
          <w:noProof/>
        </w:rPr>
        <mc:AlternateContent>
          <mc:Choice Requires="wps">
            <w:drawing>
              <wp:anchor distT="0" distB="0" distL="0" distR="0" simplePos="0" relativeHeight="251658240" behindDoc="0" locked="0" layoutInCell="1" hidden="0" allowOverlap="1" wp14:anchorId="4831BEB2" wp14:editId="376D9F16">
                <wp:simplePos x="0" y="0"/>
                <wp:positionH relativeFrom="column">
                  <wp:posOffset>-17934</wp:posOffset>
                </wp:positionH>
                <wp:positionV relativeFrom="paragraph">
                  <wp:posOffset>2441158</wp:posOffset>
                </wp:positionV>
                <wp:extent cx="6513195" cy="146050"/>
                <wp:effectExtent l="0" t="0" r="0" b="0"/>
                <wp:wrapSquare wrapText="bothSides" distT="0" distB="0" distL="0" distR="0"/>
                <wp:docPr id="665373847" name="Prostokąt 665373847"/>
                <wp:cNvGraphicFramePr/>
                <a:graphic xmlns:a="http://schemas.openxmlformats.org/drawingml/2006/main">
                  <a:graphicData uri="http://schemas.microsoft.com/office/word/2010/wordprocessingShape">
                    <wps:wsp>
                      <wps:cNvSpPr/>
                      <wps:spPr>
                        <a:xfrm>
                          <a:off x="2094165" y="3711738"/>
                          <a:ext cx="6503670" cy="136525"/>
                        </a:xfrm>
                        <a:prstGeom prst="rect">
                          <a:avLst/>
                        </a:prstGeom>
                        <a:solidFill>
                          <a:srgbClr val="FE5000"/>
                        </a:solidFill>
                        <a:ln>
                          <a:noFill/>
                        </a:ln>
                      </wps:spPr>
                      <wps:txbx>
                        <w:txbxContent>
                          <w:p w14:paraId="6FA76135" w14:textId="77777777" w:rsidR="00187AD6" w:rsidRDefault="00187AD6">
                            <w:pPr>
                              <w:spacing w:after="0"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4831BEB2" id="Prostokąt 665373847" o:spid="_x0000_s1026" style="position:absolute;margin-left:-1.4pt;margin-top:192.2pt;width:512.85pt;height:1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62zgEAAIUDAAAOAAAAZHJzL2Uyb0RvYy54bWysU9Fu2yAUfZ+0f0C8L7aTxmmtONXULtOk&#10;ao3U7QMwhhgJA7uQ2Pn7XXDWZOtbtRfMxceHc869Xt+PvSZHAV5ZU9NillMiDLetMvua/vyx/XRL&#10;iQ/MtExbI2p6Ep7ebz5+WA+uEnPbWd0KIEhifDW4mnYhuCrLPO9Ez/zMOmHwpbTQs4Al7LMW2IDs&#10;vc7meV5mg4XWgeXCezx9nF7STeKXUvDwLKUXgeiaoraQVkhrE9dss2bVHpjrFD/LYO9Q0TNl8NJX&#10;qkcWGDmAekPVKw7WWxlm3PaZlVJxkTygmyL/x81Lx5xIXjAc715j8v+Pln8/vrgdYAyD85XHbXQx&#10;SujjE/WRsabz/O6mKJeUnGq6WBXFanE7BSfGQDgCymW+KFeYL0dEsSiX82UEZBcmBz58FbYncVNT&#10;wMakvNjxyYcJ+gcSL/ZWq3artE4F7JsHDeTIsInbL8s8T31D9r9g2kSwsfGziTGeZBdfcRfGZjyb&#10;bWx72gHxjm8VinpiPuwYYPcLSgaciJr6XwcGghL9zWDkd8UN2iLhuoDrorkumOGdxUHjASiZioeQ&#10;Bm9S+fkQrFTJetQ1iTnLxV6n8M5zGYfpuk6oy9+z+Q0AAP//AwBQSwMEFAAGAAgAAAAhAEpsMCPh&#10;AAAACwEAAA8AAABkcnMvZG93bnJldi54bWxMj81OwzAQhO9IvIO1SNxamzSiJWRT8SMqgdRDC+Ls&#10;xksSNV5bsdumb497guNoRjPflMvR9uJIQ+gcI9xNFQji2pmOG4Svz7fJAkSImo3uHRPCmQIsq+ur&#10;UhfGnXhDx21sRCrhUGiENkZfSBnqlqwOU+eJk/fjBqtjkkMjzaBPqdz2MlPqXlrdcVpotaeXlur9&#10;9mARXlfvvj4H3/H6+3kj5+vV7GNvEW9vxqdHEJHG+BeGC35Chyox7dyBTRA9wiRL5BFhtshzEJeA&#10;yrIHEDuEXM1zkFUp/3+ofgEAAP//AwBQSwECLQAUAAYACAAAACEAtoM4kv4AAADhAQAAEwAAAAAA&#10;AAAAAAAAAAAAAAAAW0NvbnRlbnRfVHlwZXNdLnhtbFBLAQItABQABgAIAAAAIQA4/SH/1gAAAJQB&#10;AAALAAAAAAAAAAAAAAAAAC8BAABfcmVscy8ucmVsc1BLAQItABQABgAIAAAAIQAaSg62zgEAAIUD&#10;AAAOAAAAAAAAAAAAAAAAAC4CAABkcnMvZTJvRG9jLnhtbFBLAQItABQABgAIAAAAIQBKbDAj4QAA&#10;AAsBAAAPAAAAAAAAAAAAAAAAACgEAABkcnMvZG93bnJldi54bWxQSwUGAAAAAAQABADzAAAANgUA&#10;AAAA&#10;" fillcolor="#fe5000" stroked="f">
                <v:textbox inset="2.53958mm,2.53958mm,2.53958mm,2.53958mm">
                  <w:txbxContent>
                    <w:p w14:paraId="6FA76135" w14:textId="77777777" w:rsidR="00187AD6" w:rsidRDefault="00187AD6">
                      <w:pPr>
                        <w:spacing w:after="0" w:line="240" w:lineRule="auto"/>
                        <w:ind w:hanging="2"/>
                        <w:textDirection w:val="btLr"/>
                      </w:pPr>
                    </w:p>
                  </w:txbxContent>
                </v:textbox>
                <w10:wrap type="square"/>
              </v:rect>
            </w:pict>
          </mc:Fallback>
        </mc:AlternateContent>
      </w:r>
    </w:p>
    <w:sectPr w:rsidR="00187AD6">
      <w:headerReference w:type="even" r:id="rId9"/>
      <w:headerReference w:type="default" r:id="rId10"/>
      <w:footerReference w:type="even" r:id="rId11"/>
      <w:footerReference w:type="default" r:id="rId12"/>
      <w:headerReference w:type="first" r:id="rId13"/>
      <w:footerReference w:type="first" r:id="rId14"/>
      <w:pgSz w:w="11906" w:h="16838"/>
      <w:pgMar w:top="1910" w:right="851" w:bottom="1134" w:left="851" w:header="709"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F8C2" w14:textId="77777777" w:rsidR="00CC23F4" w:rsidRDefault="00CC23F4">
      <w:pPr>
        <w:spacing w:after="0" w:line="240" w:lineRule="auto"/>
      </w:pPr>
      <w:r>
        <w:separator/>
      </w:r>
    </w:p>
  </w:endnote>
  <w:endnote w:type="continuationSeparator" w:id="0">
    <w:p w14:paraId="3C8F42B4" w14:textId="77777777" w:rsidR="00CC23F4" w:rsidRDefault="00CC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56128A9-48BD-4290-8A5C-33CB888EE6B0}"/>
    <w:embedBold r:id="rId2" w:fontKey="{38FB73B7-53F9-48EE-804F-33A295CA7669}"/>
    <w:embedItalic r:id="rId3" w:fontKey="{57BCDC20-EF21-4FD8-9F11-C4B7787F04D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93CA94A-A6B8-421C-850B-47AE1F284F8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F0470404-008D-4B12-807B-98AF3A133D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1FA3" w14:textId="77777777" w:rsidR="00187AD6" w:rsidRDefault="00187AD6">
    <w:pPr>
      <w:pBdr>
        <w:top w:val="nil"/>
        <w:left w:val="nil"/>
        <w:bottom w:val="nil"/>
        <w:right w:val="nil"/>
        <w:between w:val="nil"/>
      </w:pBdr>
      <w:spacing w:after="0"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1F53" w14:textId="77777777" w:rsidR="00187AD6" w:rsidRDefault="00187AD6">
    <w:pPr>
      <w:pBdr>
        <w:top w:val="nil"/>
        <w:left w:val="nil"/>
        <w:bottom w:val="nil"/>
        <w:right w:val="nil"/>
        <w:between w:val="nil"/>
      </w:pBdr>
      <w:spacing w:after="0" w:line="240" w:lineRule="auto"/>
      <w:ind w:hanging="2"/>
      <w:rPr>
        <w:color w:val="000000"/>
        <w:sz w:val="16"/>
        <w:szCs w:val="16"/>
      </w:rPr>
    </w:pPr>
    <w:bookmarkStart w:id="1" w:name="_heading=h.gjdgxs" w:colFirst="0" w:colLast="0"/>
    <w:bookmarkEnd w:id="1"/>
  </w:p>
  <w:tbl>
    <w:tblPr>
      <w:tblStyle w:val="a4"/>
      <w:tblW w:w="11220" w:type="dxa"/>
      <w:tblInd w:w="-15" w:type="dxa"/>
      <w:tblLayout w:type="fixed"/>
      <w:tblLook w:val="0000" w:firstRow="0" w:lastRow="0" w:firstColumn="0" w:lastColumn="0" w:noHBand="0" w:noVBand="0"/>
    </w:tblPr>
    <w:tblGrid>
      <w:gridCol w:w="4770"/>
      <w:gridCol w:w="6450"/>
    </w:tblGrid>
    <w:tr w:rsidR="00187AD6" w14:paraId="4D4F67D0" w14:textId="77777777">
      <w:trPr>
        <w:trHeight w:val="1249"/>
      </w:trPr>
      <w:tc>
        <w:tcPr>
          <w:tcW w:w="4770" w:type="dxa"/>
        </w:tcPr>
        <w:p w14:paraId="240D8C9E" w14:textId="77777777" w:rsidR="00187AD6" w:rsidRDefault="004C04DE">
          <w:pPr>
            <w:pBdr>
              <w:top w:val="nil"/>
              <w:left w:val="nil"/>
              <w:bottom w:val="nil"/>
              <w:right w:val="nil"/>
              <w:between w:val="nil"/>
            </w:pBdr>
            <w:spacing w:after="0" w:line="240" w:lineRule="auto"/>
            <w:ind w:hanging="2"/>
            <w:rPr>
              <w:color w:val="000000"/>
              <w:sz w:val="16"/>
              <w:szCs w:val="16"/>
            </w:rPr>
          </w:pPr>
          <w:r>
            <w:rPr>
              <w:b/>
              <w:bCs/>
              <w:color w:val="000000"/>
              <w:sz w:val="16"/>
              <w:szCs w:val="16"/>
            </w:rPr>
            <w:t>Ogólnopolska Federacja Organizacji Pozarządowych</w:t>
          </w:r>
        </w:p>
        <w:p w14:paraId="36D85E98" w14:textId="77777777" w:rsidR="00187AD6" w:rsidRDefault="004C04DE">
          <w:pPr>
            <w:pBdr>
              <w:top w:val="nil"/>
              <w:left w:val="nil"/>
              <w:bottom w:val="nil"/>
              <w:right w:val="nil"/>
              <w:between w:val="nil"/>
            </w:pBdr>
            <w:spacing w:after="0" w:line="240" w:lineRule="auto"/>
            <w:ind w:hanging="2"/>
            <w:rPr>
              <w:color w:val="000000"/>
              <w:sz w:val="16"/>
              <w:szCs w:val="16"/>
            </w:rPr>
          </w:pPr>
          <w:r>
            <w:rPr>
              <w:color w:val="000000"/>
              <w:sz w:val="16"/>
              <w:szCs w:val="16"/>
            </w:rPr>
            <w:t>ul. Szpitalna 5/3, 00-031 Warszawa</w:t>
          </w:r>
        </w:p>
        <w:p w14:paraId="25B1B4DA" w14:textId="77777777" w:rsidR="00187AD6" w:rsidRDefault="004C04DE">
          <w:pPr>
            <w:pBdr>
              <w:top w:val="nil"/>
              <w:left w:val="nil"/>
              <w:bottom w:val="nil"/>
              <w:right w:val="nil"/>
              <w:between w:val="nil"/>
            </w:pBdr>
            <w:spacing w:after="0" w:line="240" w:lineRule="auto"/>
            <w:ind w:hanging="2"/>
            <w:rPr>
              <w:sz w:val="16"/>
              <w:szCs w:val="16"/>
            </w:rPr>
          </w:pPr>
          <w:r>
            <w:rPr>
              <w:color w:val="000000"/>
              <w:sz w:val="16"/>
              <w:szCs w:val="16"/>
            </w:rPr>
            <w:t xml:space="preserve">tel: (22) </w:t>
          </w:r>
          <w:r>
            <w:rPr>
              <w:sz w:val="16"/>
              <w:szCs w:val="16"/>
            </w:rPr>
            <w:t>784 568 232</w:t>
          </w:r>
        </w:p>
        <w:p w14:paraId="2D73DB8C" w14:textId="77777777" w:rsidR="00187AD6" w:rsidRDefault="004C04DE">
          <w:pPr>
            <w:pBdr>
              <w:top w:val="nil"/>
              <w:left w:val="nil"/>
              <w:bottom w:val="nil"/>
              <w:right w:val="nil"/>
              <w:between w:val="nil"/>
            </w:pBdr>
            <w:spacing w:after="0" w:line="240" w:lineRule="auto"/>
            <w:ind w:hanging="2"/>
            <w:rPr>
              <w:color w:val="000000"/>
              <w:sz w:val="16"/>
              <w:szCs w:val="16"/>
            </w:rPr>
          </w:pPr>
          <w:r>
            <w:rPr>
              <w:color w:val="000000"/>
              <w:sz w:val="16"/>
              <w:szCs w:val="16"/>
            </w:rPr>
            <w:t>e-mail: ofop@ofop.eu</w:t>
          </w:r>
        </w:p>
        <w:p w14:paraId="50BA6738" w14:textId="77777777" w:rsidR="00187AD6" w:rsidRDefault="004C04DE">
          <w:pPr>
            <w:pBdr>
              <w:top w:val="nil"/>
              <w:left w:val="nil"/>
              <w:bottom w:val="nil"/>
              <w:right w:val="nil"/>
              <w:between w:val="nil"/>
            </w:pBdr>
            <w:spacing w:after="0" w:line="240" w:lineRule="auto"/>
            <w:ind w:hanging="2"/>
            <w:rPr>
              <w:color w:val="000000"/>
              <w:sz w:val="16"/>
              <w:szCs w:val="16"/>
            </w:rPr>
          </w:pPr>
          <w:r>
            <w:rPr>
              <w:color w:val="000000"/>
              <w:sz w:val="16"/>
              <w:szCs w:val="16"/>
            </w:rPr>
            <w:t>www.ofop.eu</w:t>
          </w:r>
        </w:p>
        <w:p w14:paraId="1A16B5A0" w14:textId="77777777" w:rsidR="00187AD6" w:rsidRDefault="004C04DE">
          <w:pPr>
            <w:pBdr>
              <w:top w:val="nil"/>
              <w:left w:val="nil"/>
              <w:bottom w:val="nil"/>
              <w:right w:val="nil"/>
              <w:between w:val="nil"/>
            </w:pBdr>
            <w:spacing w:after="0" w:line="240" w:lineRule="auto"/>
            <w:ind w:hanging="2"/>
            <w:rPr>
              <w:color w:val="000000"/>
            </w:rPr>
          </w:pPr>
          <w:r>
            <w:rPr>
              <w:color w:val="000000"/>
              <w:sz w:val="16"/>
              <w:szCs w:val="16"/>
            </w:rPr>
            <w:t xml:space="preserve">NIP: 525-23-00-193 </w:t>
          </w:r>
          <w:r>
            <w:rPr>
              <w:b/>
              <w:bCs/>
              <w:color w:val="000000"/>
              <w:sz w:val="16"/>
              <w:szCs w:val="16"/>
            </w:rPr>
            <w:t xml:space="preserve">| </w:t>
          </w:r>
          <w:r>
            <w:rPr>
              <w:color w:val="000000"/>
              <w:sz w:val="16"/>
              <w:szCs w:val="16"/>
            </w:rPr>
            <w:t xml:space="preserve">REGON: 015678615 </w:t>
          </w:r>
          <w:r>
            <w:rPr>
              <w:b/>
              <w:bCs/>
              <w:color w:val="000000"/>
              <w:sz w:val="16"/>
              <w:szCs w:val="16"/>
            </w:rPr>
            <w:t xml:space="preserve">| </w:t>
          </w:r>
          <w:r>
            <w:rPr>
              <w:color w:val="000000"/>
              <w:sz w:val="16"/>
              <w:szCs w:val="16"/>
            </w:rPr>
            <w:t>KRS: 0000169795</w:t>
          </w:r>
        </w:p>
      </w:tc>
      <w:tc>
        <w:tcPr>
          <w:tcW w:w="6450" w:type="dxa"/>
        </w:tcPr>
        <w:p w14:paraId="74426C46" w14:textId="77777777" w:rsidR="00187AD6" w:rsidRDefault="004C04DE">
          <w:pPr>
            <w:pBdr>
              <w:top w:val="nil"/>
              <w:left w:val="nil"/>
              <w:bottom w:val="nil"/>
              <w:right w:val="nil"/>
              <w:between w:val="nil"/>
            </w:pBdr>
            <w:spacing w:after="0"/>
            <w:ind w:hanging="2"/>
            <w:rPr>
              <w:color w:val="000000"/>
              <w:sz w:val="16"/>
              <w:szCs w:val="16"/>
            </w:rPr>
          </w:pPr>
          <w:r>
            <w:rPr>
              <w:b/>
              <w:bCs/>
              <w:color w:val="000000"/>
              <w:sz w:val="16"/>
              <w:szCs w:val="16"/>
            </w:rPr>
            <w:t xml:space="preserve">Prezeska: </w:t>
          </w:r>
          <w:r>
            <w:rPr>
              <w:color w:val="000000"/>
              <w:sz w:val="16"/>
              <w:szCs w:val="16"/>
            </w:rPr>
            <w:t xml:space="preserve">Karolina Dreszer-Smalec </w:t>
          </w:r>
          <w:r>
            <w:rPr>
              <w:b/>
              <w:bCs/>
              <w:color w:val="000000"/>
              <w:sz w:val="16"/>
              <w:szCs w:val="16"/>
            </w:rPr>
            <w:t xml:space="preserve">| </w:t>
          </w:r>
          <w:r>
            <w:rPr>
              <w:color w:val="000000"/>
              <w:sz w:val="16"/>
              <w:szCs w:val="16"/>
            </w:rPr>
            <w:t>Fundacja na rzecz Collegium Polonicum</w:t>
          </w:r>
        </w:p>
        <w:p w14:paraId="3340BFA1" w14:textId="77777777" w:rsidR="00187AD6" w:rsidRDefault="004C04DE">
          <w:pPr>
            <w:pBdr>
              <w:top w:val="nil"/>
              <w:left w:val="nil"/>
              <w:bottom w:val="nil"/>
              <w:right w:val="nil"/>
              <w:between w:val="nil"/>
            </w:pBdr>
            <w:spacing w:after="0"/>
            <w:ind w:hanging="2"/>
            <w:rPr>
              <w:color w:val="000000"/>
              <w:sz w:val="16"/>
              <w:szCs w:val="16"/>
            </w:rPr>
          </w:pPr>
          <w:r>
            <w:rPr>
              <w:b/>
              <w:bCs/>
              <w:color w:val="000000"/>
              <w:sz w:val="16"/>
              <w:szCs w:val="16"/>
            </w:rPr>
            <w:t xml:space="preserve">Wiceprezeska: </w:t>
          </w:r>
          <w:r>
            <w:rPr>
              <w:color w:val="000000"/>
              <w:sz w:val="16"/>
              <w:szCs w:val="16"/>
            </w:rPr>
            <w:t xml:space="preserve">Weronika Czyżewska-Waglowska </w:t>
          </w:r>
          <w:r>
            <w:rPr>
              <w:b/>
              <w:bCs/>
              <w:color w:val="000000"/>
              <w:sz w:val="16"/>
              <w:szCs w:val="16"/>
            </w:rPr>
            <w:t xml:space="preserve">| </w:t>
          </w:r>
          <w:r>
            <w:rPr>
              <w:color w:val="000000"/>
              <w:sz w:val="16"/>
              <w:szCs w:val="16"/>
            </w:rPr>
            <w:t>Stowarzyszenie Dialog Społeczny</w:t>
          </w:r>
        </w:p>
        <w:p w14:paraId="56044340" w14:textId="77777777" w:rsidR="00187AD6" w:rsidRDefault="004C04DE">
          <w:pPr>
            <w:pBdr>
              <w:top w:val="nil"/>
              <w:left w:val="nil"/>
              <w:bottom w:val="nil"/>
              <w:right w:val="nil"/>
              <w:between w:val="nil"/>
            </w:pBdr>
            <w:spacing w:after="0"/>
            <w:ind w:hanging="2"/>
            <w:rPr>
              <w:sz w:val="16"/>
              <w:szCs w:val="16"/>
            </w:rPr>
          </w:pPr>
          <w:r>
            <w:rPr>
              <w:b/>
              <w:bCs/>
              <w:color w:val="000000"/>
              <w:sz w:val="16"/>
              <w:szCs w:val="16"/>
            </w:rPr>
            <w:t xml:space="preserve">Wiceprezes: </w:t>
          </w:r>
          <w:r>
            <w:rPr>
              <w:sz w:val="16"/>
              <w:szCs w:val="16"/>
            </w:rPr>
            <w:t xml:space="preserve">Krzysztof Hołyński </w:t>
          </w:r>
          <w:r>
            <w:rPr>
              <w:b/>
              <w:bCs/>
              <w:color w:val="000000"/>
              <w:sz w:val="16"/>
              <w:szCs w:val="16"/>
            </w:rPr>
            <w:t>|</w:t>
          </w:r>
          <w:r>
            <w:rPr>
              <w:b/>
              <w:bCs/>
              <w:sz w:val="16"/>
              <w:szCs w:val="16"/>
            </w:rPr>
            <w:t xml:space="preserve"> </w:t>
          </w:r>
          <w:r>
            <w:rPr>
              <w:sz w:val="16"/>
              <w:szCs w:val="16"/>
            </w:rPr>
            <w:t>Śląska Sieć 3 Sektora</w:t>
          </w:r>
        </w:p>
        <w:p w14:paraId="7C94DE31" w14:textId="77777777" w:rsidR="00187AD6" w:rsidRDefault="004C04DE">
          <w:pPr>
            <w:pBdr>
              <w:top w:val="nil"/>
              <w:left w:val="nil"/>
              <w:bottom w:val="nil"/>
              <w:right w:val="nil"/>
              <w:between w:val="nil"/>
            </w:pBdr>
            <w:spacing w:after="0"/>
            <w:ind w:hanging="2"/>
            <w:rPr>
              <w:color w:val="000000"/>
              <w:sz w:val="16"/>
              <w:szCs w:val="16"/>
            </w:rPr>
          </w:pPr>
          <w:r>
            <w:rPr>
              <w:b/>
              <w:bCs/>
              <w:color w:val="000000"/>
              <w:sz w:val="16"/>
              <w:szCs w:val="16"/>
            </w:rPr>
            <w:t>Człon</w:t>
          </w:r>
          <w:r>
            <w:rPr>
              <w:b/>
              <w:bCs/>
              <w:sz w:val="16"/>
              <w:szCs w:val="16"/>
            </w:rPr>
            <w:t>ek</w:t>
          </w:r>
          <w:r>
            <w:rPr>
              <w:b/>
              <w:bCs/>
              <w:color w:val="000000"/>
              <w:sz w:val="16"/>
              <w:szCs w:val="16"/>
            </w:rPr>
            <w:t xml:space="preserve"> Zarządu: </w:t>
          </w:r>
          <w:r>
            <w:rPr>
              <w:color w:val="000000"/>
              <w:sz w:val="16"/>
              <w:szCs w:val="16"/>
            </w:rPr>
            <w:t>Krzysztof Alcer</w:t>
          </w:r>
          <w:r>
            <w:rPr>
              <w:b/>
              <w:bCs/>
              <w:color w:val="000000"/>
              <w:sz w:val="16"/>
              <w:szCs w:val="16"/>
            </w:rPr>
            <w:t xml:space="preserve"> | </w:t>
          </w:r>
          <w:r>
            <w:rPr>
              <w:color w:val="000000"/>
              <w:sz w:val="16"/>
              <w:szCs w:val="16"/>
            </w:rPr>
            <w:t xml:space="preserve">Fundacja Inicjatyw Społeczno – Ekonomicznych </w:t>
          </w:r>
        </w:p>
        <w:p w14:paraId="761CE5E0" w14:textId="77777777" w:rsidR="00187AD6" w:rsidRDefault="004C04DE">
          <w:pPr>
            <w:pBdr>
              <w:top w:val="nil"/>
              <w:left w:val="nil"/>
              <w:bottom w:val="nil"/>
              <w:right w:val="nil"/>
              <w:between w:val="nil"/>
            </w:pBdr>
            <w:spacing w:after="0"/>
            <w:ind w:hanging="2"/>
            <w:rPr>
              <w:color w:val="000000"/>
              <w:sz w:val="16"/>
              <w:szCs w:val="16"/>
            </w:rPr>
          </w:pPr>
          <w:r>
            <w:rPr>
              <w:b/>
              <w:bCs/>
              <w:color w:val="000000"/>
              <w:sz w:val="16"/>
              <w:szCs w:val="16"/>
            </w:rPr>
            <w:t xml:space="preserve">Członek Zarządu: </w:t>
          </w:r>
          <w:r>
            <w:rPr>
              <w:color w:val="000000"/>
              <w:sz w:val="16"/>
              <w:szCs w:val="16"/>
            </w:rPr>
            <w:t xml:space="preserve">Rafał Kowalski </w:t>
          </w:r>
          <w:r>
            <w:rPr>
              <w:b/>
              <w:bCs/>
              <w:color w:val="000000"/>
              <w:sz w:val="16"/>
              <w:szCs w:val="16"/>
            </w:rPr>
            <w:t xml:space="preserve">| </w:t>
          </w:r>
          <w:r>
            <w:rPr>
              <w:color w:val="000000"/>
              <w:sz w:val="16"/>
              <w:szCs w:val="16"/>
            </w:rPr>
            <w:t>Stowarzyszenie Klon/Jawor</w:t>
          </w:r>
        </w:p>
        <w:p w14:paraId="4DABA7C1" w14:textId="77777777" w:rsidR="00187AD6" w:rsidRDefault="004C04DE">
          <w:pPr>
            <w:pBdr>
              <w:top w:val="nil"/>
              <w:left w:val="nil"/>
              <w:bottom w:val="nil"/>
              <w:right w:val="nil"/>
              <w:between w:val="nil"/>
            </w:pBdr>
            <w:spacing w:after="0"/>
            <w:ind w:hanging="2"/>
            <w:rPr>
              <w:color w:val="000000"/>
              <w:sz w:val="16"/>
              <w:szCs w:val="16"/>
            </w:rPr>
          </w:pPr>
          <w:r>
            <w:rPr>
              <w:b/>
              <w:bCs/>
              <w:color w:val="000000"/>
              <w:sz w:val="16"/>
              <w:szCs w:val="16"/>
            </w:rPr>
            <w:t>Człon</w:t>
          </w:r>
          <w:r>
            <w:rPr>
              <w:b/>
              <w:bCs/>
              <w:sz w:val="16"/>
              <w:szCs w:val="16"/>
            </w:rPr>
            <w:t>ek</w:t>
          </w:r>
          <w:r>
            <w:rPr>
              <w:b/>
              <w:bCs/>
              <w:color w:val="000000"/>
              <w:sz w:val="16"/>
              <w:szCs w:val="16"/>
            </w:rPr>
            <w:t xml:space="preserve"> Zarządu: </w:t>
          </w:r>
          <w:r>
            <w:rPr>
              <w:color w:val="000000"/>
              <w:sz w:val="16"/>
              <w:szCs w:val="16"/>
            </w:rPr>
            <w:t xml:space="preserve">Mateusz Wojcieszak </w:t>
          </w:r>
          <w:r>
            <w:rPr>
              <w:b/>
              <w:bCs/>
              <w:color w:val="000000"/>
              <w:sz w:val="16"/>
              <w:szCs w:val="16"/>
            </w:rPr>
            <w:t xml:space="preserve">| </w:t>
          </w:r>
          <w:r>
            <w:rPr>
              <w:sz w:val="16"/>
              <w:szCs w:val="16"/>
            </w:rPr>
            <w:t>Fundacja Pole Dialogu</w:t>
          </w:r>
          <w:r>
            <w:rPr>
              <w:b/>
              <w:bCs/>
              <w:sz w:val="16"/>
              <w:szCs w:val="16"/>
            </w:rPr>
            <w:t xml:space="preserve"> </w:t>
          </w:r>
        </w:p>
      </w:tc>
    </w:tr>
    <w:tr w:rsidR="00187AD6" w14:paraId="5FB6D7B4" w14:textId="77777777">
      <w:tc>
        <w:tcPr>
          <w:tcW w:w="4770" w:type="dxa"/>
        </w:tcPr>
        <w:p w14:paraId="7A4E6216" w14:textId="77777777" w:rsidR="00187AD6" w:rsidRDefault="00187AD6">
          <w:pPr>
            <w:pBdr>
              <w:top w:val="nil"/>
              <w:left w:val="nil"/>
              <w:bottom w:val="nil"/>
              <w:right w:val="nil"/>
              <w:between w:val="nil"/>
            </w:pBdr>
            <w:spacing w:after="0" w:line="240" w:lineRule="auto"/>
            <w:ind w:hanging="2"/>
            <w:rPr>
              <w:color w:val="000000"/>
              <w:sz w:val="16"/>
              <w:szCs w:val="16"/>
            </w:rPr>
          </w:pPr>
        </w:p>
      </w:tc>
      <w:tc>
        <w:tcPr>
          <w:tcW w:w="6450" w:type="dxa"/>
        </w:tcPr>
        <w:p w14:paraId="2C15E9CB" w14:textId="77777777" w:rsidR="00187AD6" w:rsidRDefault="00187AD6">
          <w:pPr>
            <w:pBdr>
              <w:top w:val="nil"/>
              <w:left w:val="nil"/>
              <w:bottom w:val="nil"/>
              <w:right w:val="nil"/>
              <w:between w:val="nil"/>
            </w:pBdr>
            <w:spacing w:after="0"/>
            <w:ind w:hanging="2"/>
            <w:rPr>
              <w:color w:val="000000"/>
              <w:sz w:val="16"/>
              <w:szCs w:val="16"/>
            </w:rPr>
          </w:pPr>
        </w:p>
      </w:tc>
    </w:tr>
  </w:tbl>
  <w:p w14:paraId="047DEEC2" w14:textId="77777777" w:rsidR="00187AD6" w:rsidRDefault="00187AD6">
    <w:pPr>
      <w:pBdr>
        <w:top w:val="nil"/>
        <w:left w:val="nil"/>
        <w:bottom w:val="nil"/>
        <w:right w:val="nil"/>
        <w:between w:val="nil"/>
      </w:pBdr>
      <w:spacing w:after="0" w:line="240" w:lineRule="auto"/>
      <w:ind w:hanging="2"/>
      <w:rPr>
        <w:color w:val="000000"/>
        <w:sz w:val="16"/>
        <w:szCs w:val="16"/>
      </w:rPr>
    </w:pPr>
  </w:p>
  <w:p w14:paraId="6E3D3E33" w14:textId="77777777" w:rsidR="00187AD6" w:rsidRDefault="00187AD6">
    <w:pPr>
      <w:pBdr>
        <w:top w:val="nil"/>
        <w:left w:val="nil"/>
        <w:bottom w:val="nil"/>
        <w:right w:val="nil"/>
        <w:between w:val="nil"/>
      </w:pBdr>
      <w:spacing w:after="0"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A9F8" w14:textId="77777777" w:rsidR="00187AD6" w:rsidRDefault="00187AD6">
    <w:pPr>
      <w:pBdr>
        <w:top w:val="nil"/>
        <w:left w:val="nil"/>
        <w:bottom w:val="nil"/>
        <w:right w:val="nil"/>
        <w:between w:val="nil"/>
      </w:pBdr>
      <w:spacing w:after="0"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28D8" w14:textId="77777777" w:rsidR="00CC23F4" w:rsidRDefault="00CC23F4">
      <w:pPr>
        <w:spacing w:after="0" w:line="240" w:lineRule="auto"/>
      </w:pPr>
      <w:r>
        <w:separator/>
      </w:r>
    </w:p>
  </w:footnote>
  <w:footnote w:type="continuationSeparator" w:id="0">
    <w:p w14:paraId="46A092F6" w14:textId="77777777" w:rsidR="00CC23F4" w:rsidRDefault="00CC2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9845" w14:textId="77777777" w:rsidR="00187AD6" w:rsidRDefault="00187AD6">
    <w:pPr>
      <w:pBdr>
        <w:top w:val="nil"/>
        <w:left w:val="nil"/>
        <w:bottom w:val="nil"/>
        <w:right w:val="nil"/>
        <w:between w:val="nil"/>
      </w:pBdr>
      <w:spacing w:after="0" w:line="240" w:lineRule="auto"/>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B92B" w14:textId="77777777" w:rsidR="00187AD6" w:rsidRDefault="004C04DE">
    <w:pPr>
      <w:pBdr>
        <w:top w:val="nil"/>
        <w:left w:val="nil"/>
        <w:bottom w:val="nil"/>
        <w:right w:val="nil"/>
        <w:between w:val="nil"/>
      </w:pBdr>
      <w:spacing w:after="0" w:line="240" w:lineRule="auto"/>
      <w:ind w:hanging="2"/>
      <w:rPr>
        <w:color w:val="000000"/>
      </w:rPr>
    </w:pPr>
    <w:r>
      <w:rPr>
        <w:noProof/>
      </w:rPr>
      <w:drawing>
        <wp:inline distT="0" distB="0" distL="0" distR="0" wp14:anchorId="244CA81E" wp14:editId="2BDA46D0">
          <wp:extent cx="1474537" cy="658224"/>
          <wp:effectExtent l="0" t="0" r="0" b="0"/>
          <wp:docPr id="665373848" name="image1.png" descr="Obraz zawierający tekst, Czcionka, Grafika, zrzut ekranu&#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image1.png" descr="Obraz zawierający tekst, Czcionka, Grafika, zrzut ekranu&#10;&#10;Zawartość wygenerowana przez AI może być niepoprawna."/>
                  <pic:cNvPicPr preferRelativeResize="0"/>
                </pic:nvPicPr>
                <pic:blipFill>
                  <a:blip r:embed="rId1"/>
                  <a:srcRect/>
                  <a:stretch>
                    <a:fillRect/>
                  </a:stretch>
                </pic:blipFill>
                <pic:spPr>
                  <a:xfrm>
                    <a:off x="0" y="0"/>
                    <a:ext cx="1474537" cy="658224"/>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FDB7113" wp14:editId="508DEC19">
              <wp:simplePos x="0" y="0"/>
              <wp:positionH relativeFrom="column">
                <wp:posOffset>3694113</wp:posOffset>
              </wp:positionH>
              <wp:positionV relativeFrom="paragraph">
                <wp:posOffset>569914</wp:posOffset>
              </wp:positionV>
              <wp:extent cx="2794000" cy="146050"/>
              <wp:effectExtent l="0" t="0" r="0" b="0"/>
              <wp:wrapNone/>
              <wp:docPr id="665373846" name="Prostokąt 665373846"/>
              <wp:cNvGraphicFramePr/>
              <a:graphic xmlns:a="http://schemas.openxmlformats.org/drawingml/2006/main">
                <a:graphicData uri="http://schemas.microsoft.com/office/word/2010/wordprocessingShape">
                  <wps:wsp>
                    <wps:cNvSpPr/>
                    <wps:spPr>
                      <a:xfrm>
                        <a:off x="3968103" y="3726000"/>
                        <a:ext cx="2755795" cy="108000"/>
                      </a:xfrm>
                      <a:prstGeom prst="rect">
                        <a:avLst/>
                      </a:prstGeom>
                      <a:solidFill>
                        <a:srgbClr val="FE5000"/>
                      </a:solidFill>
                      <a:ln>
                        <a:noFill/>
                      </a:ln>
                    </wps:spPr>
                    <wps:txbx>
                      <w:txbxContent>
                        <w:p w14:paraId="6A376534" w14:textId="77777777" w:rsidR="00187AD6" w:rsidRDefault="00187AD6">
                          <w:pPr>
                            <w:spacing w:after="0"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6FDB7113" id="Prostokąt 665373846" o:spid="_x0000_s1027" style="position:absolute;margin-left:290.9pt;margin-top:44.9pt;width:220pt;height:1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uMyQEAAIUDAAAOAAAAZHJzL2Uyb0RvYy54bWysU9uO2yAQfa/Uf0C8N75sc7PirKrdpqq0&#10;aiPt9gMwhhgJAx1I7Px9B+Ju0u5b1Rc8A8eHc2aGzf3Ya3IS4JU1NS1mOSXCcNsqc6jpj5fdhxUl&#10;PjDTMm2NqOlZeHq/ff9uM7hKlLazuhVAkMT4anA17UJwVZZ53ome+Zl1wuChtNCzgCkcshbYgOy9&#10;zso8X2SDhdaB5cJ73H28HNJt4pdS8PBdSi8C0TVFbSGtkNYmrtl2w6oDMNcpPslg/6CiZ8rgpa9U&#10;jywwcgT1hqpXHKy3Msy47TMrpeIieUA3Rf6Xm+eOOZG8YHG8ey2T/3+0/Nvp2e0ByzA4X3kMo4tR&#10;Qh+/qI+MNb1bL1ZFfkfJGeNlucjzqXBiDIQjoFzO58v1nBKOiCJfTYDsyuTAhy/C9iQGNQVsTKoX&#10;Oz35gLcj9DckXuytVu1OaZ0SODQPGsiJYRN3n+dX9j9g2kSwsfG3C2Pcya6+YhTGZpzMNrY974F4&#10;x3cKRT0xH/YMsPsFJQNORE39zyMDQYn+arDk6+JjiRbDbQK3SXObMMM7i4PGA1BySR5CGryLyk/H&#10;YKVK1qOui5hJLvY6VWSayzhMt3lCXV/P9hcAAAD//wMAUEsDBBQABgAIAAAAIQCV5Bzb3wAAAAsB&#10;AAAPAAAAZHJzL2Rvd25yZXYueG1sTI/LTsMwEEX3SPyDNUjsqJMgIA1xKh6iEpW6aEFdu/GQRI3H&#10;Vuy26d8zWcFqXlf3nikXo+3FCYfQOVKQzhIQSLUzHTUKvr8+7nIQIWoyuneECi4YYFFdX5W6MO5M&#10;GzxtYyPYhEKhFbQx+kLKULdodZg5j8S3HzdYHXkcGmkGfWZz28ssSR6l1R1xQqs9vrVYH7ZHq+B9&#10;+enrS/AdrXevG/m0Xt6vDlap25vx5RlExDH+iWHCZ3SomGnvjmSC6BU85CmjRwX5nOskSLJps+cu&#10;zXKQVSn//1D9AgAA//8DAFBLAQItABQABgAIAAAAIQC2gziS/gAAAOEBAAATAAAAAAAAAAAAAAAA&#10;AAAAAABbQ29udGVudF9UeXBlc10ueG1sUEsBAi0AFAAGAAgAAAAhADj9If/WAAAAlAEAAAsAAAAA&#10;AAAAAAAAAAAALwEAAF9yZWxzLy5yZWxzUEsBAi0AFAAGAAgAAAAhAD29K4zJAQAAhQMAAA4AAAAA&#10;AAAAAAAAAAAALgIAAGRycy9lMm9Eb2MueG1sUEsBAi0AFAAGAAgAAAAhAJXkHNvfAAAACwEAAA8A&#10;AAAAAAAAAAAAAAAAIwQAAGRycy9kb3ducmV2LnhtbFBLBQYAAAAABAAEAPMAAAAvBQAAAAA=&#10;" fillcolor="#fe5000" stroked="f">
              <v:textbox inset="2.53958mm,2.53958mm,2.53958mm,2.53958mm">
                <w:txbxContent>
                  <w:p w14:paraId="6A376534" w14:textId="77777777" w:rsidR="00187AD6" w:rsidRDefault="00187AD6">
                    <w:pPr>
                      <w:spacing w:after="0" w:line="240" w:lineRule="auto"/>
                      <w:ind w:hanging="2"/>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2C2D" w14:textId="77777777" w:rsidR="00187AD6" w:rsidRDefault="00187AD6">
    <w:pPr>
      <w:pBdr>
        <w:top w:val="nil"/>
        <w:left w:val="nil"/>
        <w:bottom w:val="nil"/>
        <w:right w:val="nil"/>
        <w:between w:val="nil"/>
      </w:pBdr>
      <w:spacing w:after="0"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606D"/>
    <w:multiLevelType w:val="multilevel"/>
    <w:tmpl w:val="FA5AD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386DDB"/>
    <w:multiLevelType w:val="multilevel"/>
    <w:tmpl w:val="5016E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AB5DD1"/>
    <w:multiLevelType w:val="multilevel"/>
    <w:tmpl w:val="A6628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6B17A2"/>
    <w:multiLevelType w:val="multilevel"/>
    <w:tmpl w:val="CD12C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C06FD8"/>
    <w:multiLevelType w:val="multilevel"/>
    <w:tmpl w:val="E4AE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3C49DB"/>
    <w:multiLevelType w:val="multilevel"/>
    <w:tmpl w:val="36B891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9814060">
    <w:abstractNumId w:val="0"/>
    <w:lvlOverride w:ilvl="0">
      <w:startOverride w:val="1"/>
    </w:lvlOverride>
  </w:num>
  <w:num w:numId="2" w16cid:durableId="1084690377">
    <w:abstractNumId w:val="2"/>
    <w:lvlOverride w:ilvl="0">
      <w:startOverride w:val="1"/>
    </w:lvlOverride>
  </w:num>
  <w:num w:numId="3" w16cid:durableId="1784226672">
    <w:abstractNumId w:val="4"/>
  </w:num>
  <w:num w:numId="4" w16cid:durableId="497228402">
    <w:abstractNumId w:val="3"/>
  </w:num>
  <w:num w:numId="5" w16cid:durableId="1421102165">
    <w:abstractNumId w:val="5"/>
  </w:num>
  <w:num w:numId="6" w16cid:durableId="1111170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D6"/>
    <w:rsid w:val="00187AD6"/>
    <w:rsid w:val="00321E65"/>
    <w:rsid w:val="004C04DE"/>
    <w:rsid w:val="007035AE"/>
    <w:rsid w:val="008037BF"/>
    <w:rsid w:val="00876659"/>
    <w:rsid w:val="00CC23F4"/>
    <w:rsid w:val="00D073C5"/>
    <w:rsid w:val="00E937BE"/>
    <w:rsid w:val="00F31B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7438"/>
  <w15:docId w15:val="{B84A3C92-335C-477D-8B07-9175EEEF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pl-PL"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en-US"/>
    </w:rPr>
  </w:style>
  <w:style w:type="paragraph" w:customStyle="1" w:styleId="Pa2">
    <w:name w:val="Pa2"/>
    <w:basedOn w:val="Default"/>
    <w:next w:val="Default"/>
    <w:pPr>
      <w:spacing w:line="241" w:lineRule="atLeast"/>
    </w:pPr>
    <w:rPr>
      <w:color w:val="auto"/>
    </w:rPr>
  </w:style>
  <w:style w:type="character" w:customStyle="1" w:styleId="A1">
    <w:name w:val="A1"/>
    <w:rPr>
      <w:color w:val="000000"/>
      <w:w w:val="100"/>
      <w:position w:val="-1"/>
      <w:sz w:val="22"/>
      <w:szCs w:val="22"/>
      <w:effect w:val="none"/>
      <w:vertAlign w:val="baseline"/>
      <w:cs w:val="0"/>
      <w:em w:val="none"/>
    </w:rPr>
  </w:style>
  <w:style w:type="paragraph" w:customStyle="1" w:styleId="Pa0">
    <w:name w:val="Pa0"/>
    <w:basedOn w:val="Default"/>
    <w:next w:val="Default"/>
    <w:pPr>
      <w:spacing w:line="241" w:lineRule="atLeast"/>
    </w:pPr>
    <w:rPr>
      <w:color w:val="auto"/>
    </w:rPr>
  </w:style>
  <w:style w:type="paragraph" w:customStyle="1" w:styleId="Pa3">
    <w:name w:val="Pa3"/>
    <w:basedOn w:val="Default"/>
    <w:next w:val="Default"/>
    <w:pPr>
      <w:spacing w:line="241" w:lineRule="atLeast"/>
    </w:pPr>
    <w:rPr>
      <w:color w:val="auto"/>
    </w:rPr>
  </w:style>
  <w:style w:type="character" w:customStyle="1" w:styleId="A0">
    <w:name w:val="A0"/>
    <w:rPr>
      <w:color w:val="000000"/>
      <w:w w:val="100"/>
      <w:position w:val="-1"/>
      <w:sz w:val="16"/>
      <w:szCs w:val="16"/>
      <w:effect w:val="none"/>
      <w:vertAlign w:val="baseline"/>
      <w:cs w:val="0"/>
      <w:em w:val="none"/>
    </w:rPr>
  </w:style>
  <w:style w:type="paragraph" w:customStyle="1" w:styleId="Pa1">
    <w:name w:val="Pa1"/>
    <w:basedOn w:val="Default"/>
    <w:next w:val="Default"/>
    <w:pPr>
      <w:spacing w:line="241" w:lineRule="atLeast"/>
    </w:pPr>
    <w:rPr>
      <w:color w:val="auto"/>
    </w:rPr>
  </w:style>
  <w:style w:type="paragraph" w:styleId="Nagwek">
    <w:name w:val="header"/>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customStyle="1" w:styleId="Pa5">
    <w:name w:val="Pa5"/>
    <w:basedOn w:val="Default"/>
    <w:next w:val="Default"/>
    <w:pPr>
      <w:spacing w:line="241" w:lineRule="atLeast"/>
    </w:pPr>
    <w:rPr>
      <w:color w:val="auto"/>
    </w:rPr>
  </w:style>
  <w:style w:type="table" w:styleId="Tabela-Siatka">
    <w:name w:val="Table Grid"/>
    <w:basedOn w:val="Standardowy"/>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top w:w="0" w:type="dxa"/>
        <w:left w:w="0" w:type="dxa"/>
        <w:bottom w:w="0" w:type="dxa"/>
        <w:right w:w="0" w:type="dxa"/>
      </w:tblCellMar>
    </w:tblPr>
  </w:style>
  <w:style w:type="paragraph" w:styleId="Akapitzlist">
    <w:name w:val="List Paragraph"/>
    <w:basedOn w:val="Normalny"/>
    <w:uiPriority w:val="34"/>
    <w:qFormat/>
    <w:rsid w:val="00D07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NLE3ZkvfdD6dKxO3vdm3oepCg==">CgMxLjAyCGguZ2pkZ3hzOAByITExdWNhVk9Za2V5TTA5dUFWY00wSTltcEZqaUpRRlR0SQ==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91E611-91FB-4D77-BB57-F4F2D12E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1589</Words>
  <Characters>9534</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Jończyk</dc:creator>
  <cp:lastModifiedBy>Piotr Frączak</cp:lastModifiedBy>
  <cp:revision>2</cp:revision>
  <dcterms:created xsi:type="dcterms:W3CDTF">2026-04-10T15:42:00Z</dcterms:created>
  <dcterms:modified xsi:type="dcterms:W3CDTF">2026-04-10T15:42:00Z</dcterms:modified>
</cp:coreProperties>
</file>