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b w:val="0"/>
          <w:bCs w:val="0"/>
          <w:color w:val="1f1f1f"/>
          <w:sz w:val="32"/>
          <w:szCs w:val="32"/>
          <w:rtl w:val="0"/>
        </w:rPr>
        <w:t xml:space="preserve">Zaproszenie na Międzynarodowe Warsztaty Kompetencyjne</w:t>
      </w:r>
      <w:r w:rsidDel="00000000" w:rsidR="00000000" w:rsidRPr="00000000">
        <w:rPr>
          <w:rFonts w:ascii="Arial" w:cs="Arial" w:eastAsia="Arial" w:hAnsi="Arial"/>
          <w:color w:val="1f1f1f"/>
          <w:sz w:val="32"/>
          <w:szCs w:val="32"/>
          <w:rtl w:val="0"/>
        </w:rPr>
        <w:t xml:space="preserve">: </w:t>
      </w:r>
      <w:r w:rsidDel="00000000" w:rsidR="00000000" w:rsidRPr="00000000">
        <w:rPr>
          <w:color w:val="1f1f1f"/>
          <w:rtl w:val="0"/>
        </w:rPr>
        <w:t xml:space="preserve">ADVOCACY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b w:val="1"/>
          <w:bCs w:val="1"/>
          <w:i w:val="1"/>
          <w:iCs w:val="1"/>
          <w:color w:val="1f1f1f"/>
          <w:sz w:val="24"/>
          <w:szCs w:val="24"/>
        </w:rPr>
      </w:pPr>
      <w:r w:rsidDel="00000000" w:rsidR="00000000" w:rsidRPr="00000000">
        <w:rPr>
          <w:i w:val="1"/>
          <w:iCs w:val="1"/>
          <w:color w:val="1f1f1f"/>
          <w:sz w:val="24"/>
          <w:szCs w:val="24"/>
          <w:rtl w:val="0"/>
        </w:rPr>
        <w:t xml:space="preserve">Wykorzystywanie praktycznych narzędzi do projektowania skutecznych kampanii rzeczniczych, angażowania interesariuszy, budowania koalicji i wpływania na procesy społeczne.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i w:val="1"/>
          <w:iCs w:val="1"/>
          <w:color w:val="1f1f1f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Szanowni Państwo, Liderzy i Animatorzy Życia Społecznego,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jc w:val="both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Mamy zaszczyt zaprosić Państwa do udziału w elitarnym programie szkoleniowym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„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ADVOCACY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, realizowanym w ramach międzynarodowej inicjatywy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ARTvocacy for the (U)nion!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jc w:val="both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To unikalne wydarzenie stanowi integralną część trzyletniego projektu budowania potencjału społeczeństwa obywatelskiego, współfinansowanego przez Komisję Europejską w ramach programu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„Obywatele, Równość, Prawa i Wartości” (CERV)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Cel i merytoryka warsztatów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jc w:val="both"/>
        <w:rPr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Warsztaty zostały zaprojektowane z myślą o aktywistach </w:t>
      </w:r>
      <w:r w:rsidDel="00000000" w:rsidR="00000000" w:rsidRPr="00000000">
        <w:rPr>
          <w:color w:val="1f1f1f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kadrze zarządzającej a także               o  liderach sektora pozarządowego oraz ich otoczenia, którzy</w:t>
      </w:r>
      <w:r w:rsidDel="00000000" w:rsidR="00000000" w:rsidRPr="00000000">
        <w:rPr>
          <w:color w:val="1f1f1f"/>
          <w:rtl w:val="0"/>
        </w:rPr>
        <w:t xml:space="preserve"> aby działać efektywnie będą rozwijali swoje umiejętności rzecznicze w celu promowania zmian społecznych i skutecznego wpływania na proces decyzyjny.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jc w:val="both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Program koncentruje się na </w:t>
      </w:r>
      <w:r w:rsidDel="00000000" w:rsidR="00000000" w:rsidRPr="00000000">
        <w:rPr>
          <w:color w:val="1f1f1f"/>
          <w:rtl w:val="0"/>
        </w:rPr>
        <w:t xml:space="preserve">efektywnym wykorzystywaniu rzecznictwa w aktywizmie społecznym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, ze szczególnym uwzględnieniem specyfiki pracy z młodzieżą.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bCs w:val="1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Kluczowe obszary tematyczne obejmują: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b w:val="1"/>
          <w:bCs w:val="1"/>
          <w:color w:val="1f1f1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465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Strategiczne rzecznictwo i wpływ:                                                                          </w:t>
      </w:r>
      <w:r w:rsidDel="00000000" w:rsidR="00000000" w:rsidRPr="00000000">
        <w:rPr>
          <w:color w:val="1f1f1f"/>
          <w:rtl w:val="0"/>
        </w:rPr>
        <w:t xml:space="preserve">Mechanizmy kreowania zmian społecznych oraz skuteczne oddziaływanie na procesy decyzyjne i legislacyjne.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240" w:lineRule="auto"/>
        <w:ind w:left="465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Komunikacja w sferze publicznej:                                                                                </w:t>
      </w:r>
      <w:r w:rsidDel="00000000" w:rsidR="00000000" w:rsidRPr="00000000">
        <w:rPr>
          <w:color w:val="1f1f1f"/>
          <w:rtl w:val="0"/>
        </w:rPr>
        <w:t xml:space="preserve">Budowanie profesjonalnych relacji z interesariuszami oraz projektowanie skutecznych kampanii informacyjnych.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240" w:lineRule="auto"/>
        <w:ind w:left="465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Techniki mobilizacji hybrydowej:                                                                              </w:t>
      </w:r>
      <w:r w:rsidDel="00000000" w:rsidR="00000000" w:rsidRPr="00000000">
        <w:rPr>
          <w:color w:val="1f1f1f"/>
          <w:rtl w:val="0"/>
        </w:rPr>
        <w:t xml:space="preserve">Synergia cyfrowych narzędzi advocacy z oddolnymi działaniami grassroots w celu skalowania zasięgu inicjatyw.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240" w:lineRule="auto"/>
        <w:ind w:left="465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Projektowanie regionalnych strategii operacyjnych:                                                </w:t>
      </w:r>
      <w:r w:rsidDel="00000000" w:rsidR="00000000" w:rsidRPr="00000000">
        <w:rPr>
          <w:color w:val="1f1f1f"/>
          <w:rtl w:val="0"/>
        </w:rPr>
        <w:t xml:space="preserve">Tworzenie kompleksowych, lokalnych planów działania dostosowanych do specyfiki regionu i celów rzeczniczych.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240" w:lineRule="auto"/>
        <w:ind w:left="465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Praktyka i symulacje procesów rzeczniczych:                                                         </w:t>
      </w:r>
      <w:r w:rsidDel="00000000" w:rsidR="00000000" w:rsidRPr="00000000">
        <w:rPr>
          <w:color w:val="1f1f1f"/>
          <w:rtl w:val="0"/>
        </w:rPr>
        <w:t xml:space="preserve">Warsztatowe doskonalenie umiejętności poprzez analizę case studies oraz symulacje ról w realnych scenariuszach politycznych.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Adresaci </w:t>
      </w:r>
      <w:r w:rsidDel="00000000" w:rsidR="00000000" w:rsidRPr="00000000">
        <w:rPr>
          <w:color w:val="1f1f1f"/>
          <w:rtl w:val="0"/>
        </w:rPr>
        <w:t xml:space="preserve">warsztatu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Szkolenie dedykowane jest osobom kluczowym dla rozwoju sektora młodzieżowego: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465" w:hanging="360"/>
      </w:pPr>
      <w:r w:rsidDel="00000000" w:rsidR="00000000" w:rsidRPr="00000000">
        <w:rPr>
          <w:color w:val="1f1f1f"/>
          <w:rtl w:val="0"/>
        </w:rPr>
        <w:t xml:space="preserve">Aktywistom Społecznym,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465" w:hanging="360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Zaangażowanej Młodzieży,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465" w:hanging="360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Liderom, Trenerom i Pracownikom Młodzieżowym.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5" w:hanging="360"/>
        <w:jc w:val="both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Przedstawicielom </w:t>
      </w:r>
      <w:r w:rsidDel="00000000" w:rsidR="00000000" w:rsidRPr="00000000">
        <w:rPr>
          <w:color w:val="1f1f1f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amorządów oraz </w:t>
      </w:r>
      <w:r w:rsidDel="00000000" w:rsidR="00000000" w:rsidRPr="00000000">
        <w:rPr>
          <w:color w:val="1f1f1f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ektora </w:t>
      </w:r>
      <w:r w:rsidDel="00000000" w:rsidR="00000000" w:rsidRPr="00000000">
        <w:rPr>
          <w:color w:val="1f1f1f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iznesu współpracującym ze środowiskami młodzieżowymi.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Międzynarodowa ekspertyza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Zajęcia poprowadzą wybitni eksperci z uznanych europejskich organizacji partnerskich: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MasterPeace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(Niderlandy)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Youth for Exchange and Understanding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(Belgia)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Autres Directions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(Niderlandy)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jc w:val="both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Wydarzenie opiera się na metodologii wzajemnego uczenia się (</w:t>
      </w: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peer-to-peer learning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) oraz wymianie sprawdzonych, międzynarodowych dobrych praktyk. Dla pełnego komfortu uczestników zapewniamy profesjonalne tłumaczenie symultaniczne z języka angielskiego na język polski.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Informacje organizacyjne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Data: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</w:t>
      </w:r>
      <w:r w:rsidDel="00000000" w:rsidR="00000000" w:rsidRPr="00000000">
        <w:rPr>
          <w:color w:val="1f1f1f"/>
          <w:rtl w:val="0"/>
        </w:rPr>
        <w:t xml:space="preserve">czwartek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, </w:t>
      </w:r>
      <w:r w:rsidDel="00000000" w:rsidR="00000000" w:rsidRPr="00000000">
        <w:rPr>
          <w:color w:val="1f1f1f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kwietnia, godz. 1</w:t>
      </w:r>
      <w:r w:rsidDel="00000000" w:rsidR="00000000" w:rsidRPr="00000000">
        <w:rPr>
          <w:color w:val="1f1f1f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:00 </w:t>
      </w:r>
      <w:r w:rsidDel="00000000" w:rsidR="00000000" w:rsidRPr="00000000">
        <w:rPr>
          <w:color w:val="1f1f1f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</w:t>
      </w:r>
      <w:r w:rsidDel="00000000" w:rsidR="00000000" w:rsidRPr="00000000">
        <w:rPr>
          <w:color w:val="1f1f1f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:</w:t>
      </w:r>
      <w:r w:rsidDel="00000000" w:rsidR="00000000" w:rsidRPr="00000000">
        <w:rPr>
          <w:color w:val="1f1f1f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0. </w:t>
      </w:r>
      <w:r w:rsidDel="00000000" w:rsidR="00000000" w:rsidRPr="00000000">
        <w:rPr>
          <w:color w:val="1f1f1f"/>
          <w:rtl w:val="0"/>
        </w:rPr>
        <w:t xml:space="preserve">(zapewniamy przerwy kawowe oraz lunch)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Lokalizacja: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Centrum Katowic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65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(szczegółowy adres zostanie przekazany zakwalifikowanym </w:t>
      </w:r>
      <w:r w:rsidDel="00000000" w:rsidR="00000000" w:rsidRPr="00000000">
        <w:rPr>
          <w:color w:val="1f1f1f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czestnikom).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Koszt: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Udział w warsztatach jest bezpłatny dzięki wsparciu finansowemu Unii Europejskiej</w:t>
      </w:r>
      <w:r w:rsidDel="00000000" w:rsidR="00000000" w:rsidRPr="00000000">
        <w:rPr>
          <w:color w:val="1f1f1f"/>
          <w:rtl w:val="0"/>
        </w:rPr>
        <w:t xml:space="preserve"> z Programu CERV.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2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Rekrutacja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Z uwagi na warsztatowy charakter spotkania oraz dbałość o najwyższą jakość merytoryczną, liczba miejsc jest ściśle ograniczona </w:t>
      </w:r>
      <w:r w:rsidDel="00000000" w:rsidR="00000000" w:rsidRPr="00000000">
        <w:rPr>
          <w:color w:val="1f1f1f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decyduje kolejność zgłoszeń.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Z jednej organizacji mogą zgłosić się maksymalnie dwie osoby.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5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Warunkiem ubiegania się o udział jest wypełnienie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ANKIETY ZGŁOSZENIOWEJ</w:t>
      </w:r>
      <w:r w:rsidDel="00000000" w:rsidR="00000000" w:rsidRPr="00000000">
        <w:rPr>
          <w:color w:val="1f1f1f"/>
          <w:rtl w:val="0"/>
        </w:rPr>
        <w:t xml:space="preserve">                                  - link do ankiety zgłoszeniowej: </w:t>
      </w:r>
    </w:p>
    <w:p w:rsidR="00000000" w:rsidDel="00000000" w:rsidP="00000000" w:rsidRDefault="00000000" w:rsidRPr="00000000" w14:paraId="0000002A">
      <w:pPr>
        <w:ind w:left="465" w:firstLine="0"/>
        <w:rPr>
          <w:color w:val="222222"/>
          <w:highlight w:val="white"/>
        </w:rPr>
      </w:pPr>
      <w:r w:rsidDel="00000000" w:rsidR="00000000" w:rsidRPr="00000000">
        <w:rPr>
          <w:color w:val="1f1f1f"/>
          <w:rtl w:val="0"/>
        </w:rPr>
        <w:t xml:space="preserve"> 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https://forms.gle/BqQpGcoDgPSSdp4y9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ind w:left="465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</w:t>
      </w:r>
      <w:r w:rsidDel="00000000" w:rsidR="00000000" w:rsidRPr="00000000">
        <w:rPr>
          <w:color w:val="222222"/>
          <w:rtl w:val="0"/>
        </w:rPr>
        <w:t xml:space="preserve">czyli </w:t>
      </w:r>
    </w:p>
    <w:p w:rsidR="00000000" w:rsidDel="00000000" w:rsidP="00000000" w:rsidRDefault="00000000" w:rsidRPr="00000000" w14:paraId="0000002C">
      <w:pPr>
        <w:shd w:fill="ffffff" w:val="clear"/>
        <w:ind w:left="465" w:firstLine="0"/>
        <w:rPr>
          <w:b w:val="1"/>
          <w:bCs w:val="1"/>
          <w:color w:val="1155cc"/>
          <w:u w:val="single"/>
        </w:rPr>
      </w:pPr>
      <w:r w:rsidDel="00000000" w:rsidR="00000000" w:rsidRPr="00000000">
        <w:rPr>
          <w:color w:val="222222"/>
          <w:rtl w:val="0"/>
        </w:rPr>
        <w:t xml:space="preserve">  </w:t>
      </w:r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https://bit.ly/Advocacy09April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5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600" w:right="600" w:firstLine="0"/>
        <w:jc w:val="both"/>
        <w:rPr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Program CERV promuje wspólne wartości UE, wspierając otwarte, demokratyczne          i integracyjne społeczeństwa poprzez ochronę praw, równości oraz zwalczanie dyskryminacji.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BqQpGcoDgPSSdp4y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