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b w:val="0"/>
          <w:bCs w:val="0"/>
          <w:color w:val="1f1f1f"/>
          <w:sz w:val="32"/>
          <w:szCs w:val="32"/>
          <w:rtl w:val="0"/>
        </w:rPr>
        <w:t xml:space="preserve">Zaproszenie na Międzynarodowe Warsztaty Kompetencyjne</w:t>
      </w:r>
      <w:r w:rsidDel="00000000" w:rsidR="00000000" w:rsidRPr="00000000">
        <w:rPr>
          <w:rFonts w:ascii="Arial" w:cs="Arial" w:eastAsia="Arial" w:hAnsi="Arial"/>
          <w:color w:val="1f1f1f"/>
          <w:sz w:val="32"/>
          <w:szCs w:val="32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Przywództwo i Zarządzanie </w:t>
      </w:r>
    </w:p>
    <w:p w:rsidR="00000000" w:rsidDel="00000000" w:rsidP="00000000" w:rsidRDefault="00000000" w:rsidRPr="00000000" w14:paraId="00000002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rFonts w:ascii="Arial" w:cs="Arial" w:eastAsia="Arial" w:hAnsi="Arial"/>
          <w:b w:val="1"/>
          <w:bCs w:val="1"/>
          <w:i w:val="1"/>
          <w:iCs w:val="1"/>
          <w:color w:val="1f1f1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1f1f1f"/>
          <w:sz w:val="24"/>
          <w:szCs w:val="24"/>
          <w:rtl w:val="0"/>
        </w:rPr>
        <w:t xml:space="preserve">Budowanie strategicznego potencjału organizacji społeczeństwa obywatelskiego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Arial" w:cs="Arial" w:eastAsia="Arial" w:hAnsi="Arial"/>
          <w:i w:val="1"/>
          <w:iCs w:val="1"/>
          <w:color w:val="1f1f1f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1f1f1f"/>
          <w:rtl w:val="0"/>
        </w:rPr>
        <w:t xml:space="preserve">Szanowni Państwo, Liderzy i Animatorzy Życia Społecznego,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jc w:val="both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Mamy zaszczyt zaprosić Państwa do udziału w elitarnym programie szkoleniowym </w:t>
      </w: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„Przywództwo i Zarządzanie”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, realizowanym w ramach międzynarodowej inicjatywy </w:t>
      </w: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ARTvocacy for the (U)nion!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jc w:val="both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To unikalne wydarzenie stanowi integralną część trzyletniego projektu budowania potencjału społeczeństwa obywatelskiego, współfinansowanego przez Komisję Europejską w ramach programu </w:t>
      </w: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„Obywatele, Równość, Prawa i Wartości” (CERV)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1f1f1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Cel i merytoryka warsztatów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jc w:val="both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Warsztaty zostały zaprojektowane z myślą o kadrze zarządzającej oraz liderach sektora pozarządowego oraz ich otoczenia, którzy dążą do osiągnięcia </w:t>
      </w: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długoterminowej stabilności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oraz maksymalizacji </w:t>
      </w: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wpływu społecznego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swoich organizacji.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jc w:val="both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Program koncentruje się na strategicznych aspektach funkcjonowania NGO, ze szczególnym uwzględnieniem specyfiki pracy z młodzieżą.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1f1f1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bCs w:val="1"/>
          <w:color w:val="1f1f1f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Kluczowe obszary tematyczne obejmują: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b w:val="1"/>
          <w:bCs w:val="1"/>
          <w:color w:val="1f1f1f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465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Optymalizacja procesów zarządczych: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</w:t>
      </w:r>
      <w:r w:rsidDel="00000000" w:rsidR="00000000" w:rsidRPr="00000000">
        <w:rPr>
          <w:color w:val="1f1f1f"/>
          <w:rtl w:val="0"/>
        </w:rPr>
        <w:t xml:space="preserve">                                                                     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Wzmocnienie przywództwa oraz usprawnienie struktur organizacyjnych.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5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Planowanie strategiczne: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</w:t>
      </w:r>
      <w:r w:rsidDel="00000000" w:rsidR="00000000" w:rsidRPr="00000000">
        <w:rPr>
          <w:color w:val="1f1f1f"/>
          <w:rtl w:val="0"/>
        </w:rPr>
        <w:t xml:space="preserve">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Rozwijanie zaawansowanych umiejętności zarządzania projektami w celu podniesienia efektywności operacyjnej.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5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Zrównoważone finansowanie: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</w:t>
      </w:r>
      <w:r w:rsidDel="00000000" w:rsidR="00000000" w:rsidRPr="00000000">
        <w:rPr>
          <w:color w:val="1f1f1f"/>
          <w:rtl w:val="0"/>
        </w:rPr>
        <w:t xml:space="preserve">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Praktyczne strategie mobilizacji zasobów oraz budowanie stabilności finansowej organizacji.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5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Komunikacja wpływu: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</w:t>
      </w:r>
      <w:r w:rsidDel="00000000" w:rsidR="00000000" w:rsidRPr="00000000">
        <w:rPr>
          <w:color w:val="1f1f1f"/>
          <w:rtl w:val="0"/>
        </w:rPr>
        <w:t xml:space="preserve">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Metody zwiększania zaangażowania społeczności oraz precyzyjne mierzenie                                         i komunikowanie efektów działań społecznych.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5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Innowacyjne narzędzia aktywizacji: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                                                                         Wykorzystanie sztuki jako katalizatora zmiany społecznej i narzędzia rzecznictwa (ARTvocacy).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Adresaci programu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Szkolenie dedykowane jest osobom kluczowym dla rozwoju sektora młodzieżowego: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465" w:hanging="360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Liderom, </w:t>
      </w:r>
      <w:r w:rsidDel="00000000" w:rsidR="00000000" w:rsidRPr="00000000">
        <w:rPr>
          <w:color w:val="1f1f1f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renerom i </w:t>
      </w:r>
      <w:r w:rsidDel="00000000" w:rsidR="00000000" w:rsidRPr="00000000">
        <w:rPr>
          <w:color w:val="1f1f1f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racownikom </w:t>
      </w:r>
      <w:r w:rsidDel="00000000" w:rsidR="00000000" w:rsidRPr="00000000">
        <w:rPr>
          <w:color w:val="1f1f1f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łodzieżowym.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465" w:hanging="360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Zaangażowanej Młodzieży,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5" w:hanging="360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Aktywistom </w:t>
      </w:r>
      <w:r w:rsidDel="00000000" w:rsidR="00000000" w:rsidRPr="00000000">
        <w:rPr>
          <w:color w:val="1f1f1f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połecznym</w:t>
      </w:r>
      <w:r w:rsidDel="00000000" w:rsidR="00000000" w:rsidRPr="00000000">
        <w:rPr>
          <w:color w:val="1f1f1f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5" w:hanging="360"/>
        <w:jc w:val="both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Przedstawicielom </w:t>
      </w:r>
      <w:r w:rsidDel="00000000" w:rsidR="00000000" w:rsidRPr="00000000">
        <w:rPr>
          <w:color w:val="1f1f1f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amorządów oraz </w:t>
      </w:r>
      <w:r w:rsidDel="00000000" w:rsidR="00000000" w:rsidRPr="00000000">
        <w:rPr>
          <w:color w:val="1f1f1f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ektora </w:t>
      </w:r>
      <w:r w:rsidDel="00000000" w:rsidR="00000000" w:rsidRPr="00000000">
        <w:rPr>
          <w:color w:val="1f1f1f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iznesu współpracującym ze środowiskami młodzieżowymi.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Międzynarodowa ekspertyza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Zajęcia poprowadzą wybitni eksperci z uznanych europejskich organizacji partnerskich: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465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MasterPeace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(Niderlandy)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Youth for Exchange and Understanding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(Belgia)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5.9999942779541" w:lineRule="auto"/>
        <w:ind w:left="465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Autres Directions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(Niderlandy)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jc w:val="both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Wydarzenie opiera się na metodologii wzajemnego uczenia się (</w:t>
      </w:r>
      <w:r w:rsidDel="00000000" w:rsidR="00000000" w:rsidRPr="00000000">
        <w:rPr>
          <w:rFonts w:ascii="Arial" w:cs="Arial" w:eastAsia="Arial" w:hAnsi="Arial"/>
          <w:i w:val="1"/>
          <w:iCs w:val="1"/>
          <w:color w:val="1f1f1f"/>
          <w:rtl w:val="0"/>
        </w:rPr>
        <w:t xml:space="preserve">peer-to-peer learning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) oraz wymianie sprawdzonych, międzynarodowych dobrych praktyk. Dla pełnego komfortu uczestników zapewniamy profesjonalne tłumaczenie symultaniczne z języka angielskiego na język polski.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1f1f1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Informacje organizacyjne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465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Data: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Środa, 8 kwietnia, godz. 1</w:t>
      </w:r>
      <w:r w:rsidDel="00000000" w:rsidR="00000000" w:rsidRPr="00000000">
        <w:rPr>
          <w:color w:val="1f1f1f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:00 </w:t>
      </w:r>
      <w:r w:rsidDel="00000000" w:rsidR="00000000" w:rsidRPr="00000000">
        <w:rPr>
          <w:color w:val="1f1f1f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18:</w:t>
      </w:r>
      <w:r w:rsidDel="00000000" w:rsidR="00000000" w:rsidRPr="00000000">
        <w:rPr>
          <w:color w:val="1f1f1f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0. </w:t>
      </w:r>
      <w:r w:rsidDel="00000000" w:rsidR="00000000" w:rsidRPr="00000000">
        <w:rPr>
          <w:color w:val="1f1f1f"/>
          <w:rtl w:val="0"/>
        </w:rPr>
        <w:t xml:space="preserve">(zapewniamy przerwy kawowe                                               oraz po zakończeniu warsztatów - dinner)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5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Lokalizacja: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Centrum Katowic 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65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(szczegółowy adres zostanie przekazany zakwalifikowanym </w:t>
      </w:r>
      <w:r w:rsidDel="00000000" w:rsidR="00000000" w:rsidRPr="00000000">
        <w:rPr>
          <w:color w:val="1f1f1f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czestnikom).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65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Koszt: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Udział w warsztatach jest bezpłatny dzięki wsparciu finansowemu Unii Europejskiej</w:t>
      </w:r>
      <w:r w:rsidDel="00000000" w:rsidR="00000000" w:rsidRPr="00000000">
        <w:rPr>
          <w:color w:val="1f1f1f"/>
          <w:rtl w:val="0"/>
        </w:rPr>
        <w:t xml:space="preserve"> z Programu CERV.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Rekrutacja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Z uwagi na warsztatowy charakter spotkania oraz dbałość o najwyższą jakość merytoryczną, liczba miejsc jest ściśle ograniczona </w:t>
      </w:r>
      <w:r w:rsidDel="00000000" w:rsidR="00000000" w:rsidRPr="00000000">
        <w:rPr>
          <w:color w:val="1f1f1f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decyduje kolejność zgłoszeń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5.9999942779541" w:lineRule="auto"/>
        <w:ind w:left="465" w:hanging="360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Z jednej organizacji mogą zgłosić się maksymalnie dwie osoby.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5" w:hanging="360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Warunkiem ubiegania się o udział jest wypełnienie </w:t>
      </w: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ANKIETY ZGŁOSZENIOWEJ</w:t>
      </w:r>
      <w:r w:rsidDel="00000000" w:rsidR="00000000" w:rsidRPr="00000000">
        <w:rPr>
          <w:color w:val="1f1f1f"/>
          <w:rtl w:val="0"/>
        </w:rPr>
        <w:t xml:space="preserve">                                  - link do ankiety zgłoszeniowej: 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5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https://forms.gle/fMydDGRVgXE4b2xq5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ind w:left="600" w:right="600" w:firstLine="0"/>
        <w:jc w:val="both"/>
        <w:rPr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Program CERV promuje wspólne wartości UE, wspierając otwarte, demokratyczne          i integracyjne społeczeństwa poprzez ochronę praw, równości oraz zwalczanie dyskryminacji.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fMydDGRVgXE4b2xq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