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AB36E" w14:textId="77777777" w:rsidR="00642316" w:rsidRDefault="006423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39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0"/>
        <w:gridCol w:w="1417"/>
        <w:gridCol w:w="1816"/>
        <w:gridCol w:w="4110"/>
        <w:gridCol w:w="6061"/>
      </w:tblGrid>
      <w:tr w:rsidR="00642316" w14:paraId="371F516B" w14:textId="77777777">
        <w:trPr>
          <w:trHeight w:val="592"/>
          <w:jc w:val="center"/>
        </w:trPr>
        <w:tc>
          <w:tcPr>
            <w:tcW w:w="13994" w:type="dxa"/>
            <w:gridSpan w:val="5"/>
            <w:vAlign w:val="center"/>
          </w:tcPr>
          <w:p w14:paraId="53427214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Uwagi do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projektu Programu regulacyjnego na lata 2026-2028 </w:t>
            </w:r>
          </w:p>
        </w:tc>
      </w:tr>
      <w:tr w:rsidR="00642316" w14:paraId="666807EE" w14:textId="77777777">
        <w:trPr>
          <w:trHeight w:val="592"/>
          <w:jc w:val="center"/>
        </w:trPr>
        <w:tc>
          <w:tcPr>
            <w:tcW w:w="590" w:type="dxa"/>
            <w:vAlign w:val="center"/>
          </w:tcPr>
          <w:p w14:paraId="47833BC7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10992D31" w14:textId="77777777" w:rsidR="00642316" w:rsidRDefault="000000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Jednostka redakcyjna, której uwaga dotyczy/ strona/ pkt Uzasadnienia/</w:t>
            </w:r>
          </w:p>
          <w:p w14:paraId="5F6779DB" w14:textId="77777777" w:rsidR="00642316" w:rsidRDefault="000000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pkt OSR</w:t>
            </w:r>
          </w:p>
        </w:tc>
        <w:tc>
          <w:tcPr>
            <w:tcW w:w="1816" w:type="dxa"/>
            <w:vAlign w:val="center"/>
          </w:tcPr>
          <w:p w14:paraId="1FBAA439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 zgłaszający</w:t>
            </w:r>
          </w:p>
        </w:tc>
        <w:tc>
          <w:tcPr>
            <w:tcW w:w="4110" w:type="dxa"/>
            <w:vAlign w:val="center"/>
          </w:tcPr>
          <w:p w14:paraId="563AD421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6061" w:type="dxa"/>
            <w:vAlign w:val="center"/>
          </w:tcPr>
          <w:p w14:paraId="29E8E363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Propozycja zmiany Podmiotu zgłaszającego</w:t>
            </w:r>
          </w:p>
        </w:tc>
      </w:tr>
      <w:tr w:rsidR="00642316" w14:paraId="0726F2BB" w14:textId="77777777">
        <w:trPr>
          <w:jc w:val="center"/>
        </w:trPr>
        <w:tc>
          <w:tcPr>
            <w:tcW w:w="590" w:type="dxa"/>
          </w:tcPr>
          <w:p w14:paraId="400533CA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2A0AFAA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4/s.6</w:t>
            </w:r>
          </w:p>
        </w:tc>
        <w:tc>
          <w:tcPr>
            <w:tcW w:w="1816" w:type="dxa"/>
            <w:vAlign w:val="center"/>
          </w:tcPr>
          <w:p w14:paraId="097FDA16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08DE42DB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gospodarcza (w tym np. ekonomia społeczna, rozwój lokalny) są silnie powiązane z działalnością sektora organizacji pozarządowych, ten zaś w sposób znaczny wpływa na działalność gospodarczą (np. organizacje wsparcia biznesu, CSR)</w:t>
            </w:r>
          </w:p>
        </w:tc>
        <w:tc>
          <w:tcPr>
            <w:tcW w:w="6061" w:type="dxa"/>
            <w:vAlign w:val="center"/>
          </w:tcPr>
          <w:p w14:paraId="51B77C43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Dodać „planowaną Strategią rozwoju społeczeństwa obywatelskiego”</w:t>
            </w:r>
          </w:p>
        </w:tc>
      </w:tr>
      <w:tr w:rsidR="00642316" w14:paraId="3C02FC07" w14:textId="77777777">
        <w:trPr>
          <w:jc w:val="center"/>
        </w:trPr>
        <w:tc>
          <w:tcPr>
            <w:tcW w:w="590" w:type="dxa"/>
          </w:tcPr>
          <w:p w14:paraId="7C3AA1FB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652745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5/s. 7</w:t>
            </w:r>
          </w:p>
        </w:tc>
        <w:tc>
          <w:tcPr>
            <w:tcW w:w="1816" w:type="dxa"/>
            <w:vAlign w:val="center"/>
          </w:tcPr>
          <w:p w14:paraId="73A08377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6FE060BE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Kontrola społeczna przedsiębiorstw, szczególnie dużych, o znaczącym wpływie na środowisko czy na prawa konsumentów nie może być ograniczana. </w:t>
            </w:r>
          </w:p>
        </w:tc>
        <w:tc>
          <w:tcPr>
            <w:tcW w:w="6061" w:type="dxa"/>
            <w:vAlign w:val="center"/>
          </w:tcPr>
          <w:p w14:paraId="0DEC444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Zmienić na w obszarze pierwszym na  „dostarczanie informacji dla sektora publicznego lub stron trzecich, o ile nie narusza to prawa do informacji o środowisku czy interesów konsumentów”.</w:t>
            </w:r>
          </w:p>
        </w:tc>
      </w:tr>
      <w:tr w:rsidR="00642316" w14:paraId="36CC02DA" w14:textId="77777777">
        <w:trPr>
          <w:jc w:val="center"/>
        </w:trPr>
        <w:tc>
          <w:tcPr>
            <w:tcW w:w="590" w:type="dxa"/>
          </w:tcPr>
          <w:p w14:paraId="598B7BE6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1CFAD9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6/s. 8</w:t>
            </w:r>
          </w:p>
        </w:tc>
        <w:tc>
          <w:tcPr>
            <w:tcW w:w="1816" w:type="dxa"/>
            <w:vAlign w:val="center"/>
          </w:tcPr>
          <w:p w14:paraId="0DD03DF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OFOP </w:t>
            </w:r>
          </w:p>
        </w:tc>
        <w:tc>
          <w:tcPr>
            <w:tcW w:w="4110" w:type="dxa"/>
            <w:vAlign w:val="center"/>
          </w:tcPr>
          <w:p w14:paraId="08E4D145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Opis organizacji trzeciego sektora (?) sugeruje zawężające rozumienie ich jako beneficjentów programu </w:t>
            </w:r>
          </w:p>
        </w:tc>
        <w:tc>
          <w:tcPr>
            <w:tcW w:w="6061" w:type="dxa"/>
            <w:vAlign w:val="center"/>
          </w:tcPr>
          <w:p w14:paraId="4D3CF691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Zmienić na „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organizacje pozarządowe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zainteresowanym polskim systemem prawnym w tym m.in. te które reprezentują sektor przedsiębiorców, te, które świadczą usługi publiczne czy te biorące udział w konsultacjach publicznych projektów legislacyjnych”</w:t>
            </w:r>
          </w:p>
        </w:tc>
      </w:tr>
      <w:tr w:rsidR="00642316" w14:paraId="075FD1AB" w14:textId="77777777">
        <w:trPr>
          <w:jc w:val="center"/>
        </w:trPr>
        <w:tc>
          <w:tcPr>
            <w:tcW w:w="590" w:type="dxa"/>
          </w:tcPr>
          <w:p w14:paraId="4B96276E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7396AD" w14:textId="77777777" w:rsidR="006423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1.1./s.11</w:t>
            </w:r>
          </w:p>
        </w:tc>
        <w:tc>
          <w:tcPr>
            <w:tcW w:w="1816" w:type="dxa"/>
            <w:vAlign w:val="center"/>
          </w:tcPr>
          <w:p w14:paraId="1F686462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02DFCEE9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należy kontynuować dotychczasowego systemu deregulacji, jako dodatkowej ścieżki legislacyjnej, ale traktować deregulację jako priorytetowy  element wszystkich procesów legislacyjnych.  Dotychczasowy system (UDER) powinien być, zgodnie z zapowiedziami, wygaszany. </w:t>
            </w:r>
          </w:p>
        </w:tc>
        <w:tc>
          <w:tcPr>
            <w:tcW w:w="6061" w:type="dxa"/>
            <w:vAlign w:val="center"/>
          </w:tcPr>
          <w:p w14:paraId="5F1162CF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„Rząd, w ramach jednolitego procesu legislacyjnego, będzie brał pod  szczególną uwagę  propozycje konkretnych zmian</w:t>
            </w:r>
          </w:p>
          <w:p w14:paraId="390898D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deregulacyjnych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zgłaszanych przez stronę społeczną będą poddawane szczegółowej analizie przez właściwe organy. W celu ułatwienia zgłaszania postulatów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deregulacyjnych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zostanie udostępniony dedykowany formularz. Ocena dotychczasowego stanu prawnego i identyfikacja barier rozwoju przedsiębiorczości będzie następowała w ścisłej współpracy z organizacjami biznesowymi i przedsiębiorcami. Wyniki analiz propozycji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deregulacyjnych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będą przedkładane zespołowi do spraw koordynacji procesu legislacyjnego, który będzie nadzorował procedowanie tych zmian wdrażającego deregulację. </w:t>
            </w:r>
          </w:p>
          <w:p w14:paraId="19DB267A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Wskaźnik: Przygotowanie co najmniej 30 propozycji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deregulacyjnych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rocznie w formie wkładu do procedowanych projektów ustaw”</w:t>
            </w:r>
          </w:p>
        </w:tc>
      </w:tr>
      <w:tr w:rsidR="00642316" w14:paraId="591349D1" w14:textId="77777777">
        <w:trPr>
          <w:jc w:val="center"/>
        </w:trPr>
        <w:tc>
          <w:tcPr>
            <w:tcW w:w="590" w:type="dxa"/>
          </w:tcPr>
          <w:p w14:paraId="01FB3B35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1B0891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1.2/s.11</w:t>
            </w:r>
          </w:p>
        </w:tc>
        <w:tc>
          <w:tcPr>
            <w:tcW w:w="1816" w:type="dxa"/>
            <w:vAlign w:val="center"/>
          </w:tcPr>
          <w:p w14:paraId="0E2471E1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27318EFE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Systemowe działania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deregulacyjne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powinny dotyczyć również sektor organizacji pozarządowych, jako ważny element szeroko rozumianej gospodarki (uzupełnienie działań sensu stricto komercyjnych) </w:t>
            </w:r>
          </w:p>
        </w:tc>
        <w:tc>
          <w:tcPr>
            <w:tcW w:w="6061" w:type="dxa"/>
            <w:vAlign w:val="center"/>
          </w:tcPr>
          <w:p w14:paraId="33478057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Dodać „Systemowe zmiany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deregulacyjne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powinny dotyczyć również działania obszaru ekonomii społecznej (zgodnie z Ustawą o Ekonomii Społecznej), w tym przede wszystkim organizacji pozarządowych, co będzie jednym z zadań zespołu do spraw koordynacji procesu legislacyjnego”. </w:t>
            </w:r>
          </w:p>
        </w:tc>
      </w:tr>
      <w:tr w:rsidR="00642316" w14:paraId="3405A98E" w14:textId="77777777">
        <w:trPr>
          <w:jc w:val="center"/>
        </w:trPr>
        <w:tc>
          <w:tcPr>
            <w:tcW w:w="590" w:type="dxa"/>
          </w:tcPr>
          <w:p w14:paraId="5403CA50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7554C7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1.2/s.11</w:t>
            </w:r>
          </w:p>
        </w:tc>
        <w:tc>
          <w:tcPr>
            <w:tcW w:w="1816" w:type="dxa"/>
            <w:vAlign w:val="center"/>
          </w:tcPr>
          <w:p w14:paraId="2042177C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228BA493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Organizacje pozarządowe często zderzają się z problemami, które są uregulowane dla przedsiębiorstw, ale dotykają organizacji. </w:t>
            </w:r>
          </w:p>
        </w:tc>
        <w:tc>
          <w:tcPr>
            <w:tcW w:w="6061" w:type="dxa"/>
            <w:vAlign w:val="center"/>
          </w:tcPr>
          <w:p w14:paraId="62355B8A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Dodać „Jednych z pierwszych działań powinno być zrównanie w uprawnieniach organizacji pozarządowych spełniających odpowiednie warunki a nie prowadzących działalności gospodarczej z mikroprzedsiębiorstwami, a także doprecyzowaniem dla sektora organizacji pozarządowych kwestii podatkowych (CIT od działalności statutowej i VAT od dotacji), czy ograniczenia kontroli. ”</w:t>
            </w:r>
          </w:p>
        </w:tc>
      </w:tr>
      <w:tr w:rsidR="00642316" w14:paraId="62803D04" w14:textId="77777777">
        <w:trPr>
          <w:jc w:val="center"/>
        </w:trPr>
        <w:tc>
          <w:tcPr>
            <w:tcW w:w="590" w:type="dxa"/>
          </w:tcPr>
          <w:p w14:paraId="5846800E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AB8044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2.1/ s.16</w:t>
            </w:r>
          </w:p>
        </w:tc>
        <w:tc>
          <w:tcPr>
            <w:tcW w:w="1816" w:type="dxa"/>
            <w:vAlign w:val="center"/>
          </w:tcPr>
          <w:p w14:paraId="056468C1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7813627E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Tworzenie „wspólnoty praktyków” jedynie z pracowników administracji rządowej nie uwzględnia rzeczywistej praktyczności rozwiązań prawnych. Konieczna jest stała współpraca z organizacjami wspierającymi działalność ekonomiczną (w tym przypadku przedstawicieli nie tylko organizacji reprezentujących interesy przedsiębiorców ale także centrów wspierania biznesu, organizacji pozarządowych, ekonomii społecznej)  </w:t>
            </w:r>
          </w:p>
        </w:tc>
        <w:tc>
          <w:tcPr>
            <w:tcW w:w="6061" w:type="dxa"/>
            <w:vAlign w:val="center"/>
          </w:tcPr>
          <w:p w14:paraId="1AB66653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Nowe sformułowanie „Ponadto powstanie wspólnota praktyków skupiająca pracowników administracji rządowej w poszczególnych resortach oraz przedstawicieli organizacji pozarządowych, której celem będzie promowanie dobrych praktyk oraz identyfikowanie problemów związanych ze stosowaniem zasady równoważenia obowiązków administracyjnych w praktyce”. </w:t>
            </w:r>
          </w:p>
        </w:tc>
      </w:tr>
      <w:tr w:rsidR="00642316" w14:paraId="3280C27F" w14:textId="77777777">
        <w:trPr>
          <w:jc w:val="center"/>
        </w:trPr>
        <w:tc>
          <w:tcPr>
            <w:tcW w:w="590" w:type="dxa"/>
          </w:tcPr>
          <w:p w14:paraId="6CB1AB80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70D40A9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4/s. 21</w:t>
            </w:r>
          </w:p>
        </w:tc>
        <w:tc>
          <w:tcPr>
            <w:tcW w:w="1816" w:type="dxa"/>
            <w:vAlign w:val="center"/>
          </w:tcPr>
          <w:p w14:paraId="52769AA4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2B175A2C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Należy rozważyć, zgodnie z zasadą „przeciwdziałania implementacji zwiększającej</w:t>
            </w:r>
          </w:p>
          <w:p w14:paraId="39EB2699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obciążenia regulacyjne” kwestię Art.  71b. Ustawy prawo przedsiębiorców. Nakładanie bowiem na beneficjentów Funduszy Europejskich (tak przedsiębiorców jak i organizacji pozarządowych) pośrednio (poprzez wytyczne) nadmiernych, nie wynikających wprost z regulacji unijnych powinny również podlegać deregulacji. </w:t>
            </w:r>
          </w:p>
        </w:tc>
        <w:tc>
          <w:tcPr>
            <w:tcW w:w="6061" w:type="dxa"/>
            <w:vAlign w:val="center"/>
          </w:tcPr>
          <w:p w14:paraId="0D34828B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Dodać. „Zasada ta powinno również obowiązywać przy nakładaniu na beneficjentów Funduszy Europejskich niewymaganych bezpośrednio przez prawo unijne, obowiązków”. </w:t>
            </w:r>
          </w:p>
        </w:tc>
      </w:tr>
      <w:tr w:rsidR="00642316" w14:paraId="47EE8AB8" w14:textId="77777777">
        <w:trPr>
          <w:jc w:val="center"/>
        </w:trPr>
        <w:tc>
          <w:tcPr>
            <w:tcW w:w="590" w:type="dxa"/>
          </w:tcPr>
          <w:p w14:paraId="10B25E3A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D5939D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1/s.24</w:t>
            </w:r>
          </w:p>
        </w:tc>
        <w:tc>
          <w:tcPr>
            <w:tcW w:w="1816" w:type="dxa"/>
            <w:vAlign w:val="center"/>
          </w:tcPr>
          <w:p w14:paraId="0D8CBEE3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6B83BD9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Mimo zapowiedzi rządowych z 2024 analiza OSR ex post dotyczące sektora obywatelskiego nie została wykonana. </w:t>
            </w:r>
          </w:p>
        </w:tc>
        <w:tc>
          <w:tcPr>
            <w:tcW w:w="6061" w:type="dxa"/>
            <w:vAlign w:val="center"/>
          </w:tcPr>
          <w:p w14:paraId="380C38DF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Dopisać „Niektóre ustawy, które są zobligowane ustawowo) do przedstawiania sprawozdania z realizacji (np. ustawa o działalności pożytku publicznego, czy ustawa o ekonomii społecznej) przeprowadzania przy okazji OSR-ex post”. </w:t>
            </w:r>
          </w:p>
        </w:tc>
      </w:tr>
      <w:tr w:rsidR="00642316" w14:paraId="6D35D427" w14:textId="77777777">
        <w:trPr>
          <w:jc w:val="center"/>
        </w:trPr>
        <w:tc>
          <w:tcPr>
            <w:tcW w:w="590" w:type="dxa"/>
          </w:tcPr>
          <w:p w14:paraId="254C882A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108C8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1.1/s.25</w:t>
            </w:r>
          </w:p>
        </w:tc>
        <w:tc>
          <w:tcPr>
            <w:tcW w:w="1816" w:type="dxa"/>
            <w:vAlign w:val="center"/>
          </w:tcPr>
          <w:p w14:paraId="09EACACB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0F727B61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prawa nie dostrzega, a przez to często je dyskryminuje, organizacji pozarządowych dlatego organizacje od lat  dopominają się o uwzględnienie w OSR również wpływu 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zorganizowane społeczeństwo obywatelskie -  wpływ na społeczeństwo ogólnie jest tu kategorią niewystarczającą. </w:t>
            </w:r>
          </w:p>
        </w:tc>
        <w:tc>
          <w:tcPr>
            <w:tcW w:w="6061" w:type="dxa"/>
            <w:vAlign w:val="center"/>
          </w:tcPr>
          <w:p w14:paraId="35F40378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Poprawić „Uwypuklone zostaną pola dla oceny wpływu na MŚP, NGO oraz analizy alternatywnych rozwiązań” </w:t>
            </w:r>
          </w:p>
        </w:tc>
      </w:tr>
      <w:tr w:rsidR="00642316" w14:paraId="63EC183F" w14:textId="77777777">
        <w:trPr>
          <w:jc w:val="center"/>
        </w:trPr>
        <w:tc>
          <w:tcPr>
            <w:tcW w:w="590" w:type="dxa"/>
          </w:tcPr>
          <w:p w14:paraId="4518D9E6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56C1E99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1.2/s. 25</w:t>
            </w:r>
          </w:p>
        </w:tc>
        <w:tc>
          <w:tcPr>
            <w:tcW w:w="1816" w:type="dxa"/>
            <w:vAlign w:val="center"/>
          </w:tcPr>
          <w:p w14:paraId="7FDECFCF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21D73E8C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Praktyka wysyłania konsultowanych aktów prawnych do wybranych (często bez jasnych kryteriów wyboru) podmiotów wymaga doprecyzowania, by minimum reprezentatywności zostało zachowane. Równocześnie konieczne jest precyzyjne rozdzielnie konsultacji publicznych od opiniowania, a także unormowanie włączenia do procesu opiniowania reprezentatywnych przedstawicieli organizacji pozarządowych. Tu propozycją organizacji pozarządowych jest od lat propozycja rozwiązań ustawowych dotyczących procesu stanowienia prawa. </w:t>
            </w:r>
          </w:p>
        </w:tc>
        <w:tc>
          <w:tcPr>
            <w:tcW w:w="6061" w:type="dxa"/>
            <w:vAlign w:val="center"/>
          </w:tcPr>
          <w:p w14:paraId="59874E8F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Tytuł działania „Działanie 1.2. Inicjatywa legislacyjna dotycząca ustawy o stanowieniu prawa” i odpowiednia zmiana opisu. </w:t>
            </w:r>
          </w:p>
          <w:p w14:paraId="36DDABA7" w14:textId="77777777" w:rsidR="00642316" w:rsidRDefault="0064231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0EE82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Gdyby jednak propozycja osobnej ustawy nie była możliwa to proponujemy - obligatoryjne wprowadzenie w ministerstwach list, na które mogą zgłaszać się podmioty, które chcą być konsultowane w określonych obszarach czy tematach. Równocześnie proponujemy aby etap opiniowania był rozdzielony czasowo z procesem konsultacji publicznych, a akty prawne dotyczące działalności społecznej, w tym organizacji pozarządowych były poddane opiniowaniu przynajmniej - do czasu uregulowania reprezentatywnej formuły dialogu - z Radą Działalności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POżytku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Publicznego. </w:t>
            </w:r>
          </w:p>
        </w:tc>
      </w:tr>
      <w:tr w:rsidR="00642316" w14:paraId="5E95112C" w14:textId="77777777">
        <w:trPr>
          <w:jc w:val="center"/>
        </w:trPr>
        <w:tc>
          <w:tcPr>
            <w:tcW w:w="590" w:type="dxa"/>
          </w:tcPr>
          <w:p w14:paraId="736B1634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3FC99D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1.3/s.27</w:t>
            </w:r>
          </w:p>
        </w:tc>
        <w:tc>
          <w:tcPr>
            <w:tcW w:w="1816" w:type="dxa"/>
            <w:vAlign w:val="center"/>
          </w:tcPr>
          <w:p w14:paraId="20268EA3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023ACDC6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Niestety stworzenie elektronicznej platformy konsultacji (były już takie rozwiązania) nie wpłynie na efektywne zaangażowanie interesariuszy  (to warunek konieczny ale niewystarczający) </w:t>
            </w:r>
          </w:p>
        </w:tc>
        <w:tc>
          <w:tcPr>
            <w:tcW w:w="6061" w:type="dxa"/>
            <w:vAlign w:val="center"/>
          </w:tcPr>
          <w:p w14:paraId="24F4CE24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Dopisać “RCL we współpracy z organizacjami pozarządowymi (w tym reprezentującymi biznes) przygotuje akcję edukacyjno-promocyjną zachęcającą do uczestnictwa w konsultacjach. Ważnym wskaźnikiem w elektronicznej platformie powinno być wskazanie jak duży proces uwag zgłaszanych w procesie konsultacji został uwzględniony”. </w:t>
            </w:r>
          </w:p>
        </w:tc>
      </w:tr>
      <w:tr w:rsidR="00642316" w14:paraId="740CCEC0" w14:textId="77777777">
        <w:trPr>
          <w:jc w:val="center"/>
        </w:trPr>
        <w:tc>
          <w:tcPr>
            <w:tcW w:w="590" w:type="dxa"/>
          </w:tcPr>
          <w:p w14:paraId="17C0AA84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5A4226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1.4/27</w:t>
            </w:r>
          </w:p>
        </w:tc>
        <w:tc>
          <w:tcPr>
            <w:tcW w:w="1816" w:type="dxa"/>
            <w:vAlign w:val="center"/>
          </w:tcPr>
          <w:p w14:paraId="02A88E7D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176F0D5B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pełni popieramy ten postulat</w:t>
            </w:r>
          </w:p>
        </w:tc>
        <w:tc>
          <w:tcPr>
            <w:tcW w:w="6061" w:type="dxa"/>
            <w:vAlign w:val="center"/>
          </w:tcPr>
          <w:p w14:paraId="1A601B87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42316" w14:paraId="3E5AF169" w14:textId="77777777">
        <w:trPr>
          <w:jc w:val="center"/>
        </w:trPr>
        <w:tc>
          <w:tcPr>
            <w:tcW w:w="590" w:type="dxa"/>
          </w:tcPr>
          <w:p w14:paraId="2A648B3F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3EAE26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1.5/28</w:t>
            </w:r>
          </w:p>
        </w:tc>
        <w:tc>
          <w:tcPr>
            <w:tcW w:w="1816" w:type="dxa"/>
            <w:vAlign w:val="center"/>
          </w:tcPr>
          <w:p w14:paraId="75ABE5D5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5E9D0A4C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Ewaluacja wieloletnich przepisów dotyczące działalności gospodarczej i aktywności obywatelskiej powinny opierać się na systematycznym tworzeniu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OSRex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 (patrz wyżej pkt 9), być może dotyczących jedynie wybranych przepisów.  </w:t>
            </w:r>
          </w:p>
        </w:tc>
        <w:tc>
          <w:tcPr>
            <w:tcW w:w="6061" w:type="dxa"/>
            <w:vAlign w:val="center"/>
          </w:tcPr>
          <w:p w14:paraId="49A0F16E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Zmiana tytułu “Ewaluacja wieloletnich przepisów dotyczących działalności gospodarczej i ekonomii społecznej”</w:t>
            </w:r>
          </w:p>
        </w:tc>
      </w:tr>
      <w:tr w:rsidR="00642316" w14:paraId="0C491C63" w14:textId="77777777">
        <w:trPr>
          <w:jc w:val="center"/>
        </w:trPr>
        <w:tc>
          <w:tcPr>
            <w:tcW w:w="590" w:type="dxa"/>
          </w:tcPr>
          <w:p w14:paraId="41EC2AED" w14:textId="77777777" w:rsidR="00642316" w:rsidRDefault="006423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C37A183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2/31</w:t>
            </w:r>
          </w:p>
        </w:tc>
        <w:tc>
          <w:tcPr>
            <w:tcW w:w="1816" w:type="dxa"/>
            <w:vAlign w:val="center"/>
          </w:tcPr>
          <w:p w14:paraId="1D3BE925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1E6C0005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powyższymi założeniami zwracamy uwagę na konieczność monitorowania aktów normatywnych nie tylko wynikających z ustawy Prawo przedsiębiorców, ale całego prawa gospodarczego także tego dotyczącego ekonomii społecznej.  </w:t>
            </w:r>
          </w:p>
        </w:tc>
        <w:tc>
          <w:tcPr>
            <w:tcW w:w="6061" w:type="dxa"/>
            <w:vAlign w:val="center"/>
          </w:tcPr>
          <w:p w14:paraId="30496F8C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Odpowiednie zmiany w poszczególnych działaniach lub wspólne zdanie podkreślając, że prawo gospodarcze rozumie się szeroko, uwzględniając w tym ekonomię społeczną zgodnie z ustawą o ekonomii społecznej. </w:t>
            </w:r>
          </w:p>
        </w:tc>
      </w:tr>
      <w:tr w:rsidR="00642316" w14:paraId="0093A1D0" w14:textId="77777777">
        <w:trPr>
          <w:jc w:val="center"/>
        </w:trPr>
        <w:tc>
          <w:tcPr>
            <w:tcW w:w="590" w:type="dxa"/>
          </w:tcPr>
          <w:p w14:paraId="6BD2C33A" w14:textId="77777777" w:rsidR="006423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14:paraId="0F9869EE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3.1/s.36</w:t>
            </w:r>
          </w:p>
        </w:tc>
        <w:tc>
          <w:tcPr>
            <w:tcW w:w="1816" w:type="dxa"/>
            <w:vAlign w:val="center"/>
          </w:tcPr>
          <w:p w14:paraId="65248BA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460D73DC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chcielibyśmy zwrócić uwagę na możliwość i konieczność ściślejszej współpracy z partnerami spoza administracji na poziomie legislacyjnym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Unii Europejskiej. To nie tylko dobre przygotowanie fiszek dla ekspertów, ale wypracowane we współpracy stanowiska i skoordynowane akcje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rzecznicze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rządu, samorządu i partnerów spoza administracji może dopomóc w skutecznym wpływie na przyjazne rozwiązania na poziomie Europejskim. Tu dobre, choć niewystarczające jeszcze, przykłady współpracy (m.in. przy programowaniu kolejnych perspektyw finansowych UE) powinny wskazywać drogę i pozwalać uzyskiwać synergię w działaniach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rzeczniczych</w:t>
            </w:r>
            <w:proofErr w:type="spellEnd"/>
          </w:p>
        </w:tc>
        <w:tc>
          <w:tcPr>
            <w:tcW w:w="6061" w:type="dxa"/>
            <w:vAlign w:val="center"/>
          </w:tcPr>
          <w:p w14:paraId="0D2286A2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Uzupełnić “Jednym z nowych elementów fiszki byłaby ocena czy planowana inicjatywa wpływa na polskich przedsiębiorców (zwłaszcza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MŚP) informacje  czy zawiera obciążenia administracyjne i jak była konsultowana z zainteresowanymi podmiotami”. .</w:t>
            </w:r>
          </w:p>
        </w:tc>
      </w:tr>
      <w:tr w:rsidR="00642316" w14:paraId="3B355A09" w14:textId="77777777">
        <w:trPr>
          <w:jc w:val="center"/>
        </w:trPr>
        <w:tc>
          <w:tcPr>
            <w:tcW w:w="590" w:type="dxa"/>
          </w:tcPr>
          <w:p w14:paraId="3AB35B71" w14:textId="77777777" w:rsidR="006423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6" w:right="-5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17</w:t>
            </w:r>
          </w:p>
        </w:tc>
        <w:tc>
          <w:tcPr>
            <w:tcW w:w="1417" w:type="dxa"/>
            <w:vAlign w:val="center"/>
          </w:tcPr>
          <w:p w14:paraId="0DC7BE58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4/s.38</w:t>
            </w:r>
          </w:p>
        </w:tc>
        <w:tc>
          <w:tcPr>
            <w:tcW w:w="1816" w:type="dxa"/>
            <w:vAlign w:val="center"/>
          </w:tcPr>
          <w:p w14:paraId="42DDEF10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OFOP</w:t>
            </w:r>
          </w:p>
        </w:tc>
        <w:tc>
          <w:tcPr>
            <w:tcW w:w="4110" w:type="dxa"/>
            <w:vAlign w:val="center"/>
          </w:tcPr>
          <w:p w14:paraId="57292263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ograniczenie “piaskownic regulacyjnych” jedynie do innowacji technologicznych i sztucznej inteligencji wydaje się zbytnim zawężeniem. Tego, czego potrzeba dodatkowo, to innowacji w zakresie problemów związanych z podstawowymi, narastającymi wyzwaniami jak globalne ocieplenie, problem demograficzny,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deinstytucjonalizacją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nowym rynkiem pracy. Wydaje się, że szukanie innowacji w tych obszarach – a to w dużej mierze obszar działania organizacji pozarządowych m.in. w zakresie ekonomii społecznej – warte jest wsparcia właśnie poprzez ograniczenie regulacji prawnych, które często ograniczają szukanie nowych, niekonwencjonalnych rozwiązań, a wspierają tworzenie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pseudoinnowacji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”. Projektów, które pod pięknymi hasłami nie wprowadzają rzeczywistych zmian, ale są np. bezpieczne z punktu widzenia finansowania publicznego.</w:t>
            </w:r>
          </w:p>
        </w:tc>
        <w:tc>
          <w:tcPr>
            <w:tcW w:w="6061" w:type="dxa"/>
            <w:vAlign w:val="center"/>
          </w:tcPr>
          <w:p w14:paraId="6019072E" w14:textId="77777777" w:rsidR="006423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dodać “Działanie 4.3. Przygotowanie systemu piaskownic regulacyjnych dla innowacji społecznych”</w:t>
            </w:r>
          </w:p>
        </w:tc>
      </w:tr>
    </w:tbl>
    <w:p w14:paraId="08CBDB72" w14:textId="77777777" w:rsidR="00642316" w:rsidRDefault="00642316">
      <w:pPr>
        <w:spacing w:line="240" w:lineRule="auto"/>
        <w:rPr>
          <w:rFonts w:ascii="Times New Roman" w:eastAsia="Times New Roman" w:hAnsi="Times New Roman" w:cs="Times New Roman"/>
        </w:rPr>
      </w:pPr>
    </w:p>
    <w:sectPr w:rsidR="00642316">
      <w:foot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C27C" w14:textId="77777777" w:rsidR="003C4F31" w:rsidRDefault="003C4F31">
      <w:pPr>
        <w:spacing w:after="0" w:line="240" w:lineRule="auto"/>
      </w:pPr>
      <w:r>
        <w:separator/>
      </w:r>
    </w:p>
  </w:endnote>
  <w:endnote w:type="continuationSeparator" w:id="0">
    <w:p w14:paraId="5898591C" w14:textId="77777777" w:rsidR="003C4F31" w:rsidRDefault="003C4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672E13F-BC92-46E2-BBFA-F21B48A071D6}"/>
    <w:embedBold r:id="rId2" w:fontKey="{F6888C6F-F7FA-4A85-8DC4-41CD758010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9675F0E-1C9C-4C62-AA89-6EF92766CD7E}"/>
    <w:embedBold r:id="rId4" w:fontKey="{4138837A-DF66-4AFB-B33E-9521059555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0C40085-E1B2-4EA9-A971-4AB895579C52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6" w:fontKey="{27537663-2AFD-48D6-B94B-06972944F09B}"/>
    <w:embedBold r:id="rId7" w:fontKey="{80EDBD46-10EF-4F42-8E5B-0FE1C2960A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8" w:fontKey="{4FD2E286-5B42-4D30-9707-959A370812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FD87" w14:textId="77777777" w:rsidR="006423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Strona |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2D654C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</w:t>
    </w:r>
  </w:p>
  <w:p w14:paraId="52740A78" w14:textId="77777777" w:rsidR="00642316" w:rsidRDefault="006423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47DAE" w14:textId="77777777" w:rsidR="003C4F31" w:rsidRDefault="003C4F31">
      <w:pPr>
        <w:spacing w:after="0" w:line="240" w:lineRule="auto"/>
      </w:pPr>
      <w:r>
        <w:separator/>
      </w:r>
    </w:p>
  </w:footnote>
  <w:footnote w:type="continuationSeparator" w:id="0">
    <w:p w14:paraId="1D9BB7CB" w14:textId="77777777" w:rsidR="003C4F31" w:rsidRDefault="003C4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0EB4"/>
    <w:multiLevelType w:val="multilevel"/>
    <w:tmpl w:val="8B68A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3458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16"/>
    <w:rsid w:val="002D654C"/>
    <w:rsid w:val="003C4F31"/>
    <w:rsid w:val="004F5998"/>
    <w:rsid w:val="0064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D832"/>
  <w15:docId w15:val="{ECB3437E-6F73-4CDC-876D-E7D0ED7B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uAgYXUPWvEww5PGoo97ctyNyKg==">CgMxLjA4AGo1ChRzdWdnZXN0Lmc0N3R0M3l2eTVidBIdV2Vyb25pa2EgQ3p5xbxld3NrYS1XYWdsb3dza2FyITFudWhjTU5iQ1p1QUNFRnhQR0VtSG5hTVA3UlUtaHNpMg==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1402</Words>
  <Characters>8416</Characters>
  <Application>Microsoft Office Word</Application>
  <DocSecurity>0</DocSecurity>
  <Lines>70</Lines>
  <Paragraphs>19</Paragraphs>
  <ScaleCrop>false</ScaleCrop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Kaniuka</dc:creator>
  <cp:lastModifiedBy>Piotr Frączak</cp:lastModifiedBy>
  <cp:revision>2</cp:revision>
  <dcterms:created xsi:type="dcterms:W3CDTF">2026-01-29T14:13:00Z</dcterms:created>
  <dcterms:modified xsi:type="dcterms:W3CDTF">2026-01-29T14:13:00Z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0x0101001A9DAB1603DB9B4F828582133B0748F9</vt:lpwstr>
  </property>
</Properties>
</file>