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96E42" w14:textId="77777777" w:rsidR="000E19D6" w:rsidRDefault="000E19D6" w:rsidP="000A3C8C">
      <w:pPr>
        <w:pStyle w:val="Tytu"/>
      </w:pPr>
      <w:r w:rsidRPr="000E19D6">
        <w:t xml:space="preserve">Cenzura w polskim wdrożeniu DSA </w:t>
      </w:r>
    </w:p>
    <w:p w14:paraId="16F7CDD2" w14:textId="77777777" w:rsidR="000A3C8C" w:rsidRPr="000A3C8C" w:rsidRDefault="000E19D6" w:rsidP="000A3C8C">
      <w:pPr>
        <w:pStyle w:val="Tytu"/>
      </w:pPr>
      <w:r w:rsidRPr="000E19D6">
        <w:t>(zmiany w UŚUDE)</w:t>
      </w:r>
      <w:r w:rsidR="000A3C8C" w:rsidRPr="000A3C8C">
        <w:t xml:space="preserve"> </w:t>
      </w:r>
    </w:p>
    <w:p w14:paraId="3B9F9DDF" w14:textId="59598006" w:rsidR="000E19D6" w:rsidRPr="00966B63" w:rsidRDefault="000E19D6" w:rsidP="000E19D6">
      <w:pPr>
        <w:pStyle w:val="Body1"/>
        <w:rPr>
          <w:b/>
          <w:lang w:val="pl-PL"/>
        </w:rPr>
      </w:pPr>
      <w:r w:rsidRPr="00966B63">
        <w:rPr>
          <w:b/>
          <w:lang w:val="pl-PL"/>
        </w:rPr>
        <w:t>W styczniu 2025 r.</w:t>
      </w:r>
      <w:r w:rsidR="00966B63">
        <w:rPr>
          <w:b/>
          <w:lang w:val="pl-PL"/>
        </w:rPr>
        <w:t xml:space="preserve"> </w:t>
      </w:r>
      <w:r w:rsidR="00AA769F">
        <w:rPr>
          <w:b/>
          <w:lang w:val="pl-PL"/>
        </w:rPr>
        <w:t xml:space="preserve">– </w:t>
      </w:r>
      <w:r w:rsidR="00966B63">
        <w:rPr>
          <w:b/>
          <w:lang w:val="pl-PL"/>
        </w:rPr>
        <w:t>niemal rok temu</w:t>
      </w:r>
      <w:r w:rsidR="00AA769F">
        <w:rPr>
          <w:b/>
          <w:lang w:val="pl-PL"/>
        </w:rPr>
        <w:t xml:space="preserve"> –</w:t>
      </w:r>
      <w:r w:rsidRPr="00966B63">
        <w:rPr>
          <w:b/>
          <w:lang w:val="pl-PL"/>
        </w:rPr>
        <w:t xml:space="preserve"> Ministerstwo Cyfryzacji opublikowało projekt </w:t>
      </w:r>
      <w:r w:rsidR="00966B63">
        <w:rPr>
          <w:b/>
          <w:lang w:val="pl-PL"/>
        </w:rPr>
        <w:t xml:space="preserve">nowelizacji ustawy o świadczeniu usług drogą elektroniczną. Oprócz </w:t>
      </w:r>
      <w:r w:rsidRPr="00966B63">
        <w:rPr>
          <w:b/>
          <w:lang w:val="pl-PL"/>
        </w:rPr>
        <w:t>przepis</w:t>
      </w:r>
      <w:r w:rsidR="00966B63">
        <w:rPr>
          <w:b/>
          <w:lang w:val="pl-PL"/>
        </w:rPr>
        <w:t>ów</w:t>
      </w:r>
      <w:r w:rsidRPr="00966B63">
        <w:rPr>
          <w:b/>
          <w:lang w:val="pl-PL"/>
        </w:rPr>
        <w:t xml:space="preserve"> niezbędny</w:t>
      </w:r>
      <w:r w:rsidR="00966B63">
        <w:rPr>
          <w:b/>
          <w:lang w:val="pl-PL"/>
        </w:rPr>
        <w:t>ch</w:t>
      </w:r>
      <w:r w:rsidRPr="00966B63">
        <w:rPr>
          <w:b/>
          <w:lang w:val="pl-PL"/>
        </w:rPr>
        <w:t xml:space="preserve"> do wdrożenia </w:t>
      </w:r>
      <w:r w:rsidR="00966B63">
        <w:rPr>
          <w:b/>
          <w:lang w:val="pl-PL"/>
        </w:rPr>
        <w:t xml:space="preserve">aktu o usługach cyfrowych (Digital Services Act, </w:t>
      </w:r>
      <w:r w:rsidRPr="00966B63">
        <w:rPr>
          <w:b/>
          <w:lang w:val="pl-PL"/>
        </w:rPr>
        <w:t>DSA</w:t>
      </w:r>
      <w:r w:rsidR="00966B63">
        <w:rPr>
          <w:b/>
          <w:lang w:val="pl-PL"/>
        </w:rPr>
        <w:t>)</w:t>
      </w:r>
      <w:r w:rsidRPr="00966B63">
        <w:rPr>
          <w:b/>
          <w:lang w:val="pl-PL"/>
        </w:rPr>
        <w:t xml:space="preserve"> </w:t>
      </w:r>
      <w:r w:rsidR="00966B63">
        <w:rPr>
          <w:b/>
          <w:lang w:val="pl-PL"/>
        </w:rPr>
        <w:t>nowelizacja przyznawała</w:t>
      </w:r>
      <w:r w:rsidRPr="00966B63">
        <w:rPr>
          <w:b/>
          <w:lang w:val="pl-PL"/>
        </w:rPr>
        <w:t xml:space="preserve"> Prezes</w:t>
      </w:r>
      <w:r w:rsidR="00966B63">
        <w:rPr>
          <w:b/>
          <w:lang w:val="pl-PL"/>
        </w:rPr>
        <w:t>owi</w:t>
      </w:r>
      <w:r w:rsidRPr="00966B63">
        <w:rPr>
          <w:b/>
          <w:lang w:val="pl-PL"/>
        </w:rPr>
        <w:t xml:space="preserve"> U</w:t>
      </w:r>
      <w:r w:rsidR="00966B63">
        <w:rPr>
          <w:b/>
          <w:lang w:val="pl-PL"/>
        </w:rPr>
        <w:t xml:space="preserve">rzędu </w:t>
      </w:r>
      <w:r w:rsidRPr="00966B63">
        <w:rPr>
          <w:b/>
          <w:lang w:val="pl-PL"/>
        </w:rPr>
        <w:t>K</w:t>
      </w:r>
      <w:r w:rsidR="00966B63">
        <w:rPr>
          <w:b/>
          <w:lang w:val="pl-PL"/>
        </w:rPr>
        <w:t xml:space="preserve">omunikacji </w:t>
      </w:r>
      <w:r w:rsidRPr="00966B63">
        <w:rPr>
          <w:b/>
          <w:lang w:val="pl-PL"/>
        </w:rPr>
        <w:t>E</w:t>
      </w:r>
      <w:r w:rsidR="00966B63">
        <w:rPr>
          <w:b/>
          <w:lang w:val="pl-PL"/>
        </w:rPr>
        <w:t>lektronicznej kompetencje</w:t>
      </w:r>
      <w:r w:rsidRPr="00966B63">
        <w:rPr>
          <w:b/>
          <w:lang w:val="pl-PL"/>
        </w:rPr>
        <w:t xml:space="preserve"> do</w:t>
      </w:r>
      <w:r w:rsidR="00163672">
        <w:rPr>
          <w:b/>
          <w:lang w:val="pl-PL"/>
        </w:rPr>
        <w:t> </w:t>
      </w:r>
      <w:r w:rsidRPr="00966B63">
        <w:rPr>
          <w:b/>
          <w:lang w:val="pl-PL"/>
        </w:rPr>
        <w:t>blokowania nielegalnych treści w</w:t>
      </w:r>
      <w:r w:rsidR="00966B63" w:rsidRPr="00966B63">
        <w:rPr>
          <w:b/>
          <w:lang w:val="pl-PL"/>
        </w:rPr>
        <w:t> </w:t>
      </w:r>
      <w:r w:rsidRPr="00966B63">
        <w:rPr>
          <w:b/>
          <w:lang w:val="pl-PL"/>
        </w:rPr>
        <w:t>sieci</w:t>
      </w:r>
      <w:r w:rsidR="0055425F">
        <w:rPr>
          <w:b/>
          <w:lang w:val="pl-PL"/>
        </w:rPr>
        <w:t>, na co zwraca uwagę w uzasadnieniu weta Prezydent.</w:t>
      </w:r>
    </w:p>
    <w:p w14:paraId="757850C5" w14:textId="6A72F053" w:rsidR="000E19D6" w:rsidRPr="000E19D6" w:rsidRDefault="000E19D6" w:rsidP="000E19D6">
      <w:pPr>
        <w:pStyle w:val="Body1"/>
        <w:rPr>
          <w:lang w:val="pl-PL"/>
        </w:rPr>
      </w:pPr>
      <w:r w:rsidRPr="000E19D6">
        <w:rPr>
          <w:lang w:val="pl-PL"/>
        </w:rPr>
        <w:t>Fundacja Panoptykon jako pierwsza</w:t>
      </w:r>
      <w:r w:rsidR="00966B63">
        <w:rPr>
          <w:lang w:val="pl-PL"/>
        </w:rPr>
        <w:t xml:space="preserve"> </w:t>
      </w:r>
      <w:r w:rsidRPr="000E19D6">
        <w:rPr>
          <w:lang w:val="pl-PL"/>
        </w:rPr>
        <w:t>informowała o tym, że kompetencje P</w:t>
      </w:r>
      <w:r w:rsidR="00966B63">
        <w:rPr>
          <w:lang w:val="pl-PL"/>
        </w:rPr>
        <w:t xml:space="preserve">rezesa </w:t>
      </w:r>
      <w:r w:rsidRPr="000E19D6">
        <w:rPr>
          <w:lang w:val="pl-PL"/>
        </w:rPr>
        <w:t xml:space="preserve">UKE </w:t>
      </w:r>
      <w:r w:rsidR="00AA769F">
        <w:rPr>
          <w:lang w:val="pl-PL"/>
        </w:rPr>
        <w:t>w</w:t>
      </w:r>
      <w:r w:rsidR="006508BA">
        <w:rPr>
          <w:lang w:val="pl-PL"/>
        </w:rPr>
        <w:t> </w:t>
      </w:r>
      <w:r w:rsidR="00AA769F">
        <w:rPr>
          <w:lang w:val="pl-PL"/>
        </w:rPr>
        <w:t xml:space="preserve">zaprezentowanym projekcie ustawy </w:t>
      </w:r>
      <w:r w:rsidRPr="000E19D6">
        <w:rPr>
          <w:lang w:val="pl-PL"/>
        </w:rPr>
        <w:t>są zbyt szerokie</w:t>
      </w:r>
      <w:r w:rsidR="00AA769F">
        <w:rPr>
          <w:lang w:val="pl-PL"/>
        </w:rPr>
        <w:t xml:space="preserve">, że brakuje </w:t>
      </w:r>
      <w:r w:rsidRPr="000E19D6">
        <w:rPr>
          <w:lang w:val="pl-PL"/>
        </w:rPr>
        <w:t xml:space="preserve">zabezpieczeń przed </w:t>
      </w:r>
      <w:r w:rsidR="00966B63">
        <w:rPr>
          <w:lang w:val="pl-PL"/>
        </w:rPr>
        <w:t xml:space="preserve">ich </w:t>
      </w:r>
      <w:r w:rsidRPr="000E19D6">
        <w:rPr>
          <w:lang w:val="pl-PL"/>
        </w:rPr>
        <w:t>nadużywaniem i</w:t>
      </w:r>
      <w:r w:rsidR="00966B63">
        <w:rPr>
          <w:lang w:val="pl-PL"/>
        </w:rPr>
        <w:t xml:space="preserve"> – w konsekwencji –</w:t>
      </w:r>
      <w:r w:rsidRPr="000E19D6">
        <w:rPr>
          <w:lang w:val="pl-PL"/>
        </w:rPr>
        <w:t xml:space="preserve"> polityczną cenzurą.</w:t>
      </w:r>
      <w:r w:rsidR="00966B63">
        <w:rPr>
          <w:lang w:val="pl-PL"/>
        </w:rPr>
        <w:t xml:space="preserve"> Nasze komentarze ukazały się m.in.</w:t>
      </w:r>
      <w:r w:rsidR="00163672">
        <w:rPr>
          <w:lang w:val="pl-PL"/>
        </w:rPr>
        <w:t> </w:t>
      </w:r>
      <w:r w:rsidR="00966B63" w:rsidRPr="000E19D6">
        <w:rPr>
          <w:lang w:val="pl-PL"/>
        </w:rPr>
        <w:t>„Dzienniku Gazecie Prawnej”</w:t>
      </w:r>
      <w:r w:rsidR="00966B63">
        <w:rPr>
          <w:lang w:val="pl-PL"/>
        </w:rPr>
        <w:t>.</w:t>
      </w:r>
    </w:p>
    <w:p w14:paraId="23BF90D3" w14:textId="77777777" w:rsidR="000E19D6" w:rsidRPr="00966B63" w:rsidRDefault="000E19D6" w:rsidP="00966B63">
      <w:pPr>
        <w:pStyle w:val="Nagwek1"/>
        <w:rPr>
          <w:rStyle w:val="Wyrnieniedelikatne"/>
          <w:i w:val="0"/>
          <w:iCs w:val="0"/>
          <w:color w:val="000000" w:themeColor="text1"/>
        </w:rPr>
      </w:pPr>
      <w:r w:rsidRPr="00966B63">
        <w:rPr>
          <w:rStyle w:val="Wyrnieniedelikatne"/>
          <w:i w:val="0"/>
          <w:iCs w:val="0"/>
          <w:color w:val="000000" w:themeColor="text1"/>
        </w:rPr>
        <w:t>Co się zmieniło</w:t>
      </w:r>
      <w:r w:rsidR="00966B63">
        <w:rPr>
          <w:rStyle w:val="Wyrnieniedelikatne"/>
          <w:i w:val="0"/>
          <w:iCs w:val="0"/>
          <w:color w:val="000000" w:themeColor="text1"/>
        </w:rPr>
        <w:t>: c</w:t>
      </w:r>
      <w:r w:rsidR="00966B63" w:rsidRPr="00966B63">
        <w:rPr>
          <w:rStyle w:val="Wyrnieniedelikatne"/>
          <w:i w:val="0"/>
          <w:iCs w:val="0"/>
          <w:color w:val="000000" w:themeColor="text1"/>
        </w:rPr>
        <w:t>zy Prezes UKE ma uprawnienia „cenzorskie”?</w:t>
      </w:r>
    </w:p>
    <w:p w14:paraId="0723C0DA" w14:textId="77777777" w:rsidR="00E24563" w:rsidRPr="00E24563" w:rsidRDefault="00E24563" w:rsidP="000E19D6">
      <w:pPr>
        <w:pStyle w:val="Body1"/>
        <w:rPr>
          <w:lang w:val="pl-PL"/>
        </w:rPr>
      </w:pPr>
      <w:r>
        <w:rPr>
          <w:lang w:val="pl-PL"/>
        </w:rPr>
        <w:t>Ustawa, która trafiła do podpisu Prezydenta, zawiera szereg zmian, które niwelują to ryzyko.</w:t>
      </w:r>
    </w:p>
    <w:p w14:paraId="01AA28A4" w14:textId="77777777" w:rsidR="000E19D6" w:rsidRPr="000E19D6" w:rsidRDefault="00966B63" w:rsidP="000E19D6">
      <w:pPr>
        <w:pStyle w:val="Body1"/>
        <w:rPr>
          <w:lang w:val="pl-PL"/>
        </w:rPr>
      </w:pPr>
      <w:r w:rsidRPr="007916C4">
        <w:rPr>
          <w:b/>
          <w:lang w:val="pl-PL"/>
        </w:rPr>
        <w:t>Po pierwsze, o</w:t>
      </w:r>
      <w:r w:rsidR="000E19D6" w:rsidRPr="007916C4">
        <w:rPr>
          <w:b/>
          <w:lang w:val="pl-PL"/>
        </w:rPr>
        <w:t>graniczono przesłanki, na podstawie których Prezes UKE</w:t>
      </w:r>
      <w:r w:rsidRPr="007916C4">
        <w:rPr>
          <w:b/>
          <w:lang w:val="pl-PL"/>
        </w:rPr>
        <w:t xml:space="preserve"> i</w:t>
      </w:r>
      <w:r w:rsidR="00E24563">
        <w:rPr>
          <w:b/>
          <w:lang w:val="pl-PL"/>
        </w:rPr>
        <w:t> </w:t>
      </w:r>
      <w:r w:rsidRPr="007916C4">
        <w:rPr>
          <w:b/>
          <w:lang w:val="pl-PL"/>
        </w:rPr>
        <w:t>Przewodniczący Krajowej Rady Radiofonii i Telewizji (w zakresie platform wideo)</w:t>
      </w:r>
      <w:r w:rsidR="000E19D6" w:rsidRPr="007916C4">
        <w:rPr>
          <w:b/>
          <w:lang w:val="pl-PL"/>
        </w:rPr>
        <w:t xml:space="preserve"> będą mogli wydawać nakazy usunięcia treści.</w:t>
      </w:r>
      <w:r w:rsidR="000E19D6" w:rsidRPr="000E19D6">
        <w:rPr>
          <w:lang w:val="pl-PL"/>
        </w:rPr>
        <w:t xml:space="preserve"> </w:t>
      </w:r>
      <w:r w:rsidR="007916C4">
        <w:rPr>
          <w:lang w:val="pl-PL"/>
        </w:rPr>
        <w:t>We wrześniu 2025 r. r</w:t>
      </w:r>
      <w:r w:rsidR="000E19D6" w:rsidRPr="000E19D6">
        <w:rPr>
          <w:lang w:val="pl-PL"/>
        </w:rPr>
        <w:t xml:space="preserve">esort </w:t>
      </w:r>
      <w:r w:rsidR="007916C4">
        <w:rPr>
          <w:lang w:val="pl-PL"/>
        </w:rPr>
        <w:t>c</w:t>
      </w:r>
      <w:r w:rsidR="000E19D6" w:rsidRPr="000E19D6">
        <w:rPr>
          <w:lang w:val="pl-PL"/>
        </w:rPr>
        <w:t xml:space="preserve">yfryzacji </w:t>
      </w:r>
      <w:r w:rsidR="007916C4">
        <w:rPr>
          <w:lang w:val="pl-PL"/>
        </w:rPr>
        <w:t>zaproponował</w:t>
      </w:r>
      <w:r w:rsidR="000E19D6" w:rsidRPr="000E19D6">
        <w:rPr>
          <w:lang w:val="pl-PL"/>
        </w:rPr>
        <w:t xml:space="preserve"> zamknięty katalog 27 przestępstw z </w:t>
      </w:r>
      <w:r w:rsidR="007916C4">
        <w:rPr>
          <w:lang w:val="pl-PL"/>
        </w:rPr>
        <w:t>k</w:t>
      </w:r>
      <w:r w:rsidR="000E19D6" w:rsidRPr="000E19D6">
        <w:rPr>
          <w:lang w:val="pl-PL"/>
        </w:rPr>
        <w:t xml:space="preserve">odeksu </w:t>
      </w:r>
      <w:r w:rsidR="007916C4">
        <w:rPr>
          <w:lang w:val="pl-PL"/>
        </w:rPr>
        <w:t>k</w:t>
      </w:r>
      <w:r w:rsidR="000E19D6" w:rsidRPr="000E19D6">
        <w:rPr>
          <w:lang w:val="pl-PL"/>
        </w:rPr>
        <w:t>arnego</w:t>
      </w:r>
      <w:r w:rsidR="007916C4">
        <w:rPr>
          <w:lang w:val="pl-PL"/>
        </w:rPr>
        <w:t xml:space="preserve"> – </w:t>
      </w:r>
      <w:r w:rsidR="000E19D6" w:rsidRPr="000E19D6">
        <w:rPr>
          <w:lang w:val="pl-PL"/>
        </w:rPr>
        <w:t>tylko czyny zabronione z tego katalogu  mogą być podstawą nałożenia blokady.</w:t>
      </w:r>
    </w:p>
    <w:p w14:paraId="77E5CCF4" w14:textId="77777777" w:rsidR="000E19D6" w:rsidRPr="000E19D6" w:rsidRDefault="007916C4" w:rsidP="000E19D6">
      <w:pPr>
        <w:pStyle w:val="Body1"/>
        <w:rPr>
          <w:lang w:val="pl-PL"/>
        </w:rPr>
      </w:pPr>
      <w:r>
        <w:rPr>
          <w:lang w:val="pl-PL"/>
        </w:rPr>
        <w:t>Chodzi</w:t>
      </w:r>
      <w:r w:rsidR="000E19D6" w:rsidRPr="000E19D6">
        <w:rPr>
          <w:lang w:val="pl-PL"/>
        </w:rPr>
        <w:t xml:space="preserve"> o treści, których zamieszczanie już teraz jest niezgodne z polskim prawem</w:t>
      </w:r>
      <w:r>
        <w:rPr>
          <w:lang w:val="pl-PL"/>
        </w:rPr>
        <w:t xml:space="preserve">, </w:t>
      </w:r>
      <w:r w:rsidR="000E19D6" w:rsidRPr="000E19D6">
        <w:rPr>
          <w:lang w:val="pl-PL"/>
        </w:rPr>
        <w:t xml:space="preserve">np. </w:t>
      </w:r>
      <w:r>
        <w:rPr>
          <w:lang w:val="pl-PL"/>
        </w:rPr>
        <w:t>materiały</w:t>
      </w:r>
      <w:r w:rsidR="000E19D6" w:rsidRPr="000E19D6">
        <w:rPr>
          <w:lang w:val="pl-PL"/>
        </w:rPr>
        <w:t xml:space="preserve"> </w:t>
      </w:r>
      <w:r>
        <w:rPr>
          <w:lang w:val="pl-PL"/>
        </w:rPr>
        <w:t xml:space="preserve">przedstawiające seksualne </w:t>
      </w:r>
      <w:r w:rsidR="000E19D6" w:rsidRPr="000E19D6">
        <w:rPr>
          <w:lang w:val="pl-PL"/>
        </w:rPr>
        <w:t>wykorzystywani</w:t>
      </w:r>
      <w:r>
        <w:rPr>
          <w:lang w:val="pl-PL"/>
        </w:rPr>
        <w:t>e</w:t>
      </w:r>
      <w:r w:rsidR="000E19D6" w:rsidRPr="000E19D6">
        <w:rPr>
          <w:lang w:val="pl-PL"/>
        </w:rPr>
        <w:t xml:space="preserve"> dzieci, </w:t>
      </w:r>
      <w:r>
        <w:rPr>
          <w:lang w:val="pl-PL"/>
        </w:rPr>
        <w:t xml:space="preserve">groźby </w:t>
      </w:r>
      <w:r w:rsidR="000E19D6" w:rsidRPr="000E19D6">
        <w:rPr>
          <w:lang w:val="pl-PL"/>
        </w:rPr>
        <w:t xml:space="preserve">karalne, oszustwa czy </w:t>
      </w:r>
      <w:r w:rsidR="000E19D6" w:rsidRPr="00E24563">
        <w:rPr>
          <w:i/>
          <w:lang w:val="pl-PL"/>
        </w:rPr>
        <w:t>revenge porn</w:t>
      </w:r>
      <w:r>
        <w:rPr>
          <w:lang w:val="pl-PL"/>
        </w:rPr>
        <w:t xml:space="preserve"> (c</w:t>
      </w:r>
      <w:r w:rsidR="000E19D6" w:rsidRPr="000E19D6">
        <w:rPr>
          <w:lang w:val="pl-PL"/>
        </w:rPr>
        <w:t xml:space="preserve">ałą listę publikujemy </w:t>
      </w:r>
      <w:r w:rsidR="00E24563">
        <w:rPr>
          <w:lang w:val="pl-PL"/>
        </w:rPr>
        <w:t>dalej</w:t>
      </w:r>
      <w:r>
        <w:rPr>
          <w:lang w:val="pl-PL"/>
        </w:rPr>
        <w:t>).</w:t>
      </w:r>
    </w:p>
    <w:p w14:paraId="45F4A161" w14:textId="77777777" w:rsidR="000E19D6" w:rsidRPr="000E19D6" w:rsidRDefault="00E24563" w:rsidP="000E19D6">
      <w:pPr>
        <w:pStyle w:val="Body1"/>
        <w:rPr>
          <w:lang w:val="pl-PL"/>
        </w:rPr>
      </w:pPr>
      <w:r w:rsidRPr="007916C4">
        <w:rPr>
          <w:b/>
          <w:lang w:val="pl-PL"/>
        </w:rPr>
        <w:t>Nowa ustawa w żaden sposób nie zmienia granic wolności słowa.</w:t>
      </w:r>
      <w:r w:rsidRPr="000E19D6">
        <w:rPr>
          <w:lang w:val="pl-PL"/>
        </w:rPr>
        <w:t xml:space="preserve"> Już teraz wolność ta nie chroni osób publikujących nielegalne treści.</w:t>
      </w:r>
      <w:r>
        <w:rPr>
          <w:lang w:val="pl-PL"/>
        </w:rPr>
        <w:t xml:space="preserve"> </w:t>
      </w:r>
      <w:r w:rsidR="000E19D6" w:rsidRPr="000E19D6">
        <w:rPr>
          <w:lang w:val="pl-PL"/>
        </w:rPr>
        <w:t xml:space="preserve">Jeżeli dzisiaj takie treści wiszą w </w:t>
      </w:r>
      <w:r w:rsidR="007916C4">
        <w:rPr>
          <w:lang w:val="pl-PL"/>
        </w:rPr>
        <w:t>I</w:t>
      </w:r>
      <w:r w:rsidR="000E19D6" w:rsidRPr="000E19D6">
        <w:rPr>
          <w:lang w:val="pl-PL"/>
        </w:rPr>
        <w:t xml:space="preserve">nternecie, to przede wszystkim dlatego, że platformy niezbyt skwapliwie je sprzątają </w:t>
      </w:r>
      <w:r w:rsidR="007916C4">
        <w:rPr>
          <w:lang w:val="pl-PL"/>
        </w:rPr>
        <w:t xml:space="preserve">– </w:t>
      </w:r>
      <w:r w:rsidR="000E19D6" w:rsidRPr="000E19D6">
        <w:rPr>
          <w:lang w:val="pl-PL"/>
        </w:rPr>
        <w:t>a nie dlatego, że nie mają takiego obowiązku</w:t>
      </w:r>
      <w:r w:rsidR="007916C4">
        <w:rPr>
          <w:lang w:val="pl-PL"/>
        </w:rPr>
        <w:t>.</w:t>
      </w:r>
      <w:r>
        <w:rPr>
          <w:lang w:val="pl-PL"/>
        </w:rPr>
        <w:t xml:space="preserve"> </w:t>
      </w:r>
    </w:p>
    <w:p w14:paraId="54DFEB77" w14:textId="77777777" w:rsidR="000E19D6" w:rsidRPr="000E19D6" w:rsidRDefault="000E19D6" w:rsidP="000E19D6">
      <w:pPr>
        <w:pStyle w:val="Body1"/>
        <w:rPr>
          <w:lang w:val="pl-PL"/>
        </w:rPr>
      </w:pPr>
      <w:r w:rsidRPr="00E24563">
        <w:rPr>
          <w:b/>
          <w:lang w:val="pl-PL"/>
        </w:rPr>
        <w:t>WAŻNE! W katalogu przestępstw nie ma zniesławienia, znieważenia funkcjonariusza publicznego czy ochrony dóbr osobistych.</w:t>
      </w:r>
      <w:r w:rsidRPr="000E19D6">
        <w:rPr>
          <w:lang w:val="pl-PL"/>
        </w:rPr>
        <w:t xml:space="preserve"> </w:t>
      </w:r>
      <w:r w:rsidR="007916C4">
        <w:rPr>
          <w:lang w:val="pl-PL"/>
        </w:rPr>
        <w:t>We wcześniejszej</w:t>
      </w:r>
      <w:r w:rsidRPr="000E19D6">
        <w:rPr>
          <w:lang w:val="pl-PL"/>
        </w:rPr>
        <w:t xml:space="preserve"> wersji projektu </w:t>
      </w:r>
      <w:r w:rsidR="007916C4">
        <w:rPr>
          <w:lang w:val="pl-PL"/>
        </w:rPr>
        <w:t xml:space="preserve">ustawy wdrażającej jednak były </w:t>
      </w:r>
      <w:r w:rsidRPr="000E19D6">
        <w:rPr>
          <w:lang w:val="pl-PL"/>
        </w:rPr>
        <w:t xml:space="preserve">i to m.in. </w:t>
      </w:r>
      <w:r w:rsidR="007916C4">
        <w:rPr>
          <w:lang w:val="pl-PL"/>
        </w:rPr>
        <w:t xml:space="preserve">z nimi wiązało się </w:t>
      </w:r>
      <w:r w:rsidRPr="000E19D6">
        <w:rPr>
          <w:lang w:val="pl-PL"/>
        </w:rPr>
        <w:t xml:space="preserve">największe ryzyko nadużywania uprawnień przez </w:t>
      </w:r>
      <w:r w:rsidR="007916C4">
        <w:rPr>
          <w:lang w:val="pl-PL"/>
        </w:rPr>
        <w:t xml:space="preserve">Prezesa </w:t>
      </w:r>
      <w:r w:rsidRPr="000E19D6">
        <w:rPr>
          <w:lang w:val="pl-PL"/>
        </w:rPr>
        <w:t>UKE (np. do blokowania krytycznych opinii czy niewygodnych wypowiedzi politycznych).</w:t>
      </w:r>
    </w:p>
    <w:p w14:paraId="2D591D48" w14:textId="4124B52D" w:rsidR="000E19D6" w:rsidRPr="000E19D6" w:rsidRDefault="000E19D6" w:rsidP="000E19D6">
      <w:pPr>
        <w:pStyle w:val="Body1"/>
        <w:rPr>
          <w:lang w:val="pl-PL"/>
        </w:rPr>
      </w:pPr>
      <w:r w:rsidRPr="000E19D6">
        <w:rPr>
          <w:lang w:val="pl-PL"/>
        </w:rPr>
        <w:t>Nie ma też</w:t>
      </w:r>
      <w:r w:rsidR="007916C4">
        <w:rPr>
          <w:lang w:val="pl-PL"/>
        </w:rPr>
        <w:t xml:space="preserve"> (już)</w:t>
      </w:r>
      <w:r w:rsidRPr="000E19D6">
        <w:rPr>
          <w:lang w:val="pl-PL"/>
        </w:rPr>
        <w:t xml:space="preserve"> mowy o blokowaniu „dezinformacji” jako takiej</w:t>
      </w:r>
      <w:r w:rsidR="007916C4">
        <w:rPr>
          <w:lang w:val="pl-PL"/>
        </w:rPr>
        <w:t xml:space="preserve"> –</w:t>
      </w:r>
      <w:r w:rsidR="00163672">
        <w:rPr>
          <w:lang w:val="pl-PL"/>
        </w:rPr>
        <w:t xml:space="preserve"> </w:t>
      </w:r>
      <w:r w:rsidRPr="000E19D6">
        <w:rPr>
          <w:lang w:val="pl-PL"/>
        </w:rPr>
        <w:t>ze względu na nieostry zakres tego pojęcia</w:t>
      </w:r>
      <w:r w:rsidR="007916C4">
        <w:rPr>
          <w:lang w:val="pl-PL"/>
        </w:rPr>
        <w:t xml:space="preserve"> to też wzbudzało obawy.</w:t>
      </w:r>
    </w:p>
    <w:p w14:paraId="4EC51FF5" w14:textId="1D6A8FFF" w:rsidR="007916C4" w:rsidRDefault="007916C4" w:rsidP="000E19D6">
      <w:pPr>
        <w:pStyle w:val="Body1"/>
        <w:rPr>
          <w:lang w:val="pl-PL"/>
        </w:rPr>
      </w:pPr>
      <w:r w:rsidRPr="007916C4">
        <w:rPr>
          <w:b/>
          <w:lang w:val="pl-PL"/>
        </w:rPr>
        <w:lastRenderedPageBreak/>
        <w:t>Druga wprowadzona zmiana dotyczy k</w:t>
      </w:r>
      <w:r w:rsidR="000E19D6" w:rsidRPr="007916C4">
        <w:rPr>
          <w:b/>
          <w:lang w:val="pl-PL"/>
        </w:rPr>
        <w:t>ontrol</w:t>
      </w:r>
      <w:r w:rsidRPr="007916C4">
        <w:rPr>
          <w:b/>
          <w:lang w:val="pl-PL"/>
        </w:rPr>
        <w:t>i</w:t>
      </w:r>
      <w:r w:rsidR="000E19D6" w:rsidRPr="007916C4">
        <w:rPr>
          <w:b/>
          <w:lang w:val="pl-PL"/>
        </w:rPr>
        <w:t xml:space="preserve"> sądów powszechnych nad decyzjami Prezesa UKE.</w:t>
      </w:r>
      <w:r w:rsidR="000E19D6" w:rsidRPr="000E19D6">
        <w:rPr>
          <w:lang w:val="pl-PL"/>
        </w:rPr>
        <w:t xml:space="preserve"> </w:t>
      </w:r>
      <w:r w:rsidR="003A338F">
        <w:rPr>
          <w:lang w:val="pl-PL"/>
        </w:rPr>
        <w:t>W „pierwszej linii” decyzję będzie podejmował Prezes UKE/Przewodniczący KRRiT. Ale o</w:t>
      </w:r>
      <w:r w:rsidR="000E19D6" w:rsidRPr="000E19D6">
        <w:rPr>
          <w:lang w:val="pl-PL"/>
        </w:rPr>
        <w:t xml:space="preserve">statnie słowo </w:t>
      </w:r>
      <w:r>
        <w:rPr>
          <w:lang w:val="pl-PL"/>
        </w:rPr>
        <w:t>w kwestii, czy treść ma zostać zablokowana, czy też pozostać na</w:t>
      </w:r>
      <w:r w:rsidR="00163672">
        <w:rPr>
          <w:lang w:val="pl-PL"/>
        </w:rPr>
        <w:t> </w:t>
      </w:r>
      <w:r>
        <w:rPr>
          <w:lang w:val="pl-PL"/>
        </w:rPr>
        <w:t xml:space="preserve">platformie, </w:t>
      </w:r>
      <w:r w:rsidR="000E19D6" w:rsidRPr="000E19D6">
        <w:rPr>
          <w:lang w:val="pl-PL"/>
        </w:rPr>
        <w:t xml:space="preserve">będzie </w:t>
      </w:r>
      <w:r w:rsidR="003A338F">
        <w:rPr>
          <w:lang w:val="pl-PL"/>
        </w:rPr>
        <w:t xml:space="preserve">de facto </w:t>
      </w:r>
      <w:r w:rsidR="000E19D6" w:rsidRPr="000E19D6">
        <w:rPr>
          <w:lang w:val="pl-PL"/>
        </w:rPr>
        <w:t>należeć do sądów, które mają najlepsze kompetencje do decydowania o</w:t>
      </w:r>
      <w:r w:rsidR="00AA769F">
        <w:rPr>
          <w:lang w:val="pl-PL"/>
        </w:rPr>
        <w:t> </w:t>
      </w:r>
      <w:r w:rsidR="000E19D6" w:rsidRPr="000E19D6">
        <w:rPr>
          <w:lang w:val="pl-PL"/>
        </w:rPr>
        <w:t xml:space="preserve">granicach swobody wypowiedzi. </w:t>
      </w:r>
      <w:r>
        <w:rPr>
          <w:lang w:val="pl-PL"/>
        </w:rPr>
        <w:t xml:space="preserve"> </w:t>
      </w:r>
      <w:r w:rsidR="003A338F">
        <w:rPr>
          <w:lang w:val="pl-PL"/>
        </w:rPr>
        <w:t>A</w:t>
      </w:r>
      <w:r>
        <w:rPr>
          <w:lang w:val="pl-PL"/>
        </w:rPr>
        <w:t>utor lub autorka spornej treści</w:t>
      </w:r>
      <w:r w:rsidR="003A338F">
        <w:rPr>
          <w:lang w:val="pl-PL"/>
        </w:rPr>
        <w:t xml:space="preserve"> wcale</w:t>
      </w:r>
      <w:r>
        <w:rPr>
          <w:lang w:val="pl-PL"/>
        </w:rPr>
        <w:t xml:space="preserve"> nie będą musieli czekać na zdjęcie blokady latami </w:t>
      </w:r>
      <w:r w:rsidR="00E24563">
        <w:rPr>
          <w:lang w:val="pl-PL"/>
        </w:rPr>
        <w:t>(</w:t>
      </w:r>
      <w:r>
        <w:rPr>
          <w:lang w:val="pl-PL"/>
        </w:rPr>
        <w:t>aż sąd wyda prawomocny wyrok</w:t>
      </w:r>
      <w:r w:rsidR="00E24563">
        <w:rPr>
          <w:lang w:val="pl-PL"/>
        </w:rPr>
        <w:t>)</w:t>
      </w:r>
      <w:r>
        <w:rPr>
          <w:lang w:val="pl-PL"/>
        </w:rPr>
        <w:t xml:space="preserve">, bo </w:t>
      </w:r>
      <w:r w:rsidR="002F19C7">
        <w:rPr>
          <w:lang w:val="pl-PL"/>
        </w:rPr>
        <w:t xml:space="preserve">już samo </w:t>
      </w:r>
      <w:r>
        <w:rPr>
          <w:lang w:val="pl-PL"/>
        </w:rPr>
        <w:t>zaskarżenie decyzji Prezesa UKE lub Przewodniczącego KRRiT</w:t>
      </w:r>
      <w:r w:rsidR="003A338F">
        <w:rPr>
          <w:lang w:val="pl-PL"/>
        </w:rPr>
        <w:t xml:space="preserve"> do sądu</w:t>
      </w:r>
      <w:r>
        <w:rPr>
          <w:lang w:val="pl-PL"/>
        </w:rPr>
        <w:t xml:space="preserve"> </w:t>
      </w:r>
      <w:r w:rsidR="00E24563">
        <w:rPr>
          <w:lang w:val="pl-PL"/>
        </w:rPr>
        <w:t xml:space="preserve">automatycznie </w:t>
      </w:r>
      <w:r>
        <w:rPr>
          <w:lang w:val="pl-PL"/>
        </w:rPr>
        <w:t xml:space="preserve">wstrzymuje </w:t>
      </w:r>
      <w:r w:rsidR="003A338F">
        <w:rPr>
          <w:lang w:val="pl-PL"/>
        </w:rPr>
        <w:t xml:space="preserve">jej </w:t>
      </w:r>
      <w:r w:rsidR="00E24563">
        <w:rPr>
          <w:lang w:val="pl-PL"/>
        </w:rPr>
        <w:t>wykonanie</w:t>
      </w:r>
      <w:r>
        <w:rPr>
          <w:lang w:val="pl-PL"/>
        </w:rPr>
        <w:t xml:space="preserve"> (czyli blokada nie zostanie nałożona</w:t>
      </w:r>
      <w:r w:rsidR="003A338F">
        <w:rPr>
          <w:lang w:val="pl-PL"/>
        </w:rPr>
        <w:t xml:space="preserve"> do czasu sądowego rozstrzygnięcia</w:t>
      </w:r>
      <w:r>
        <w:rPr>
          <w:lang w:val="pl-PL"/>
        </w:rPr>
        <w:t>).</w:t>
      </w:r>
    </w:p>
    <w:p w14:paraId="7B67DACF" w14:textId="344ED0B8" w:rsidR="000E19D6" w:rsidRDefault="007916C4" w:rsidP="000E19D6">
      <w:pPr>
        <w:pStyle w:val="Body1"/>
        <w:rPr>
          <w:lang w:val="pl-PL"/>
        </w:rPr>
      </w:pPr>
      <w:r w:rsidRPr="00AA769F">
        <w:rPr>
          <w:b/>
          <w:lang w:val="pl-PL"/>
        </w:rPr>
        <w:t>Trzecia zmiana wiąże się z dopuszczeniem a</w:t>
      </w:r>
      <w:r w:rsidR="000E19D6" w:rsidRPr="00AA769F">
        <w:rPr>
          <w:b/>
          <w:lang w:val="pl-PL"/>
        </w:rPr>
        <w:t>utor</w:t>
      </w:r>
      <w:r w:rsidRPr="00AA769F">
        <w:rPr>
          <w:b/>
          <w:lang w:val="pl-PL"/>
        </w:rPr>
        <w:t>a lub autorki spornej treści do udziału w</w:t>
      </w:r>
      <w:r w:rsidR="00E24563">
        <w:rPr>
          <w:b/>
          <w:lang w:val="pl-PL"/>
        </w:rPr>
        <w:t> </w:t>
      </w:r>
      <w:r w:rsidR="000E19D6" w:rsidRPr="00AA769F">
        <w:rPr>
          <w:b/>
          <w:lang w:val="pl-PL"/>
        </w:rPr>
        <w:t>postępowani</w:t>
      </w:r>
      <w:r w:rsidRPr="00AA769F">
        <w:rPr>
          <w:b/>
          <w:lang w:val="pl-PL"/>
        </w:rPr>
        <w:t>u</w:t>
      </w:r>
      <w:r w:rsidR="000E19D6" w:rsidRPr="00AA769F">
        <w:rPr>
          <w:b/>
          <w:lang w:val="pl-PL"/>
        </w:rPr>
        <w:t xml:space="preserve"> przed P</w:t>
      </w:r>
      <w:r w:rsidRPr="00AA769F">
        <w:rPr>
          <w:b/>
          <w:lang w:val="pl-PL"/>
        </w:rPr>
        <w:t xml:space="preserve">rezesem </w:t>
      </w:r>
      <w:r w:rsidR="000E19D6" w:rsidRPr="00AA769F">
        <w:rPr>
          <w:b/>
          <w:lang w:val="pl-PL"/>
        </w:rPr>
        <w:t>UKE</w:t>
      </w:r>
      <w:r w:rsidRPr="00AA769F">
        <w:rPr>
          <w:b/>
          <w:lang w:val="pl-PL"/>
        </w:rPr>
        <w:t xml:space="preserve"> (Przewodniczącym KRRiT)</w:t>
      </w:r>
      <w:r w:rsidR="000E19D6" w:rsidRPr="00AA769F">
        <w:rPr>
          <w:b/>
          <w:lang w:val="pl-PL"/>
        </w:rPr>
        <w:t>.</w:t>
      </w:r>
      <w:r w:rsidR="000E19D6" w:rsidRPr="000E19D6">
        <w:rPr>
          <w:lang w:val="pl-PL"/>
        </w:rPr>
        <w:t xml:space="preserve"> Po otrzymaniu zawiadomienia o rozpoczęciu procedury będzie mi</w:t>
      </w:r>
      <w:r w:rsidR="00AA769F">
        <w:rPr>
          <w:lang w:val="pl-PL"/>
        </w:rPr>
        <w:t>eć</w:t>
      </w:r>
      <w:r w:rsidR="000E19D6" w:rsidRPr="000E19D6">
        <w:rPr>
          <w:lang w:val="pl-PL"/>
        </w:rPr>
        <w:t xml:space="preserve"> dwa dni na przedstawienie swojego stanowiska</w:t>
      </w:r>
      <w:r w:rsidR="00AA769F">
        <w:rPr>
          <w:lang w:val="pl-PL"/>
        </w:rPr>
        <w:t>.</w:t>
      </w:r>
      <w:r w:rsidR="000E19D6" w:rsidRPr="000E19D6">
        <w:rPr>
          <w:lang w:val="pl-PL"/>
        </w:rPr>
        <w:t xml:space="preserve"> </w:t>
      </w:r>
      <w:r w:rsidR="00AA769F">
        <w:rPr>
          <w:lang w:val="pl-PL"/>
        </w:rPr>
        <w:t>Organy</w:t>
      </w:r>
      <w:r w:rsidR="000E19D6" w:rsidRPr="000E19D6">
        <w:rPr>
          <w:lang w:val="pl-PL"/>
        </w:rPr>
        <w:t xml:space="preserve"> będ</w:t>
      </w:r>
      <w:r w:rsidR="00AA769F">
        <w:rPr>
          <w:lang w:val="pl-PL"/>
        </w:rPr>
        <w:t>ą</w:t>
      </w:r>
      <w:r w:rsidR="000E19D6" w:rsidRPr="000E19D6">
        <w:rPr>
          <w:lang w:val="pl-PL"/>
        </w:rPr>
        <w:t xml:space="preserve"> miał</w:t>
      </w:r>
      <w:r w:rsidR="00AA769F">
        <w:rPr>
          <w:lang w:val="pl-PL"/>
        </w:rPr>
        <w:t>y</w:t>
      </w:r>
      <w:r w:rsidR="000E19D6" w:rsidRPr="000E19D6">
        <w:rPr>
          <w:lang w:val="pl-PL"/>
        </w:rPr>
        <w:t xml:space="preserve"> zatem dostęp do argumentów obu stron sporu. W razie niekorzystnej decyzji autor</w:t>
      </w:r>
      <w:r w:rsidR="00AA769F">
        <w:rPr>
          <w:lang w:val="pl-PL"/>
        </w:rPr>
        <w:t xml:space="preserve"> lub autorka</w:t>
      </w:r>
      <w:r w:rsidR="000E19D6" w:rsidRPr="000E19D6">
        <w:rPr>
          <w:lang w:val="pl-PL"/>
        </w:rPr>
        <w:t xml:space="preserve"> treści będzie m</w:t>
      </w:r>
      <w:r w:rsidR="00AA769F">
        <w:rPr>
          <w:lang w:val="pl-PL"/>
        </w:rPr>
        <w:t>o</w:t>
      </w:r>
      <w:r w:rsidR="000E19D6" w:rsidRPr="000E19D6">
        <w:rPr>
          <w:lang w:val="pl-PL"/>
        </w:rPr>
        <w:t>gł</w:t>
      </w:r>
      <w:r w:rsidR="00AA769F">
        <w:rPr>
          <w:lang w:val="pl-PL"/>
        </w:rPr>
        <w:t>a</w:t>
      </w:r>
      <w:r w:rsidR="000E19D6" w:rsidRPr="000E19D6">
        <w:rPr>
          <w:lang w:val="pl-PL"/>
        </w:rPr>
        <w:t xml:space="preserve"> także złożyć skargę do sądu.</w:t>
      </w:r>
    </w:p>
    <w:p w14:paraId="4EA9E408" w14:textId="0764D10E" w:rsidR="003A338F" w:rsidRDefault="003A338F" w:rsidP="000E19D6">
      <w:pPr>
        <w:pStyle w:val="Body1"/>
        <w:rPr>
          <w:lang w:val="pl-PL"/>
        </w:rPr>
      </w:pPr>
      <w:r>
        <w:rPr>
          <w:lang w:val="pl-PL"/>
        </w:rPr>
        <w:t>A to nie koniec. W ramach dodatkowych gwarancji m.in.:</w:t>
      </w:r>
    </w:p>
    <w:p w14:paraId="1FBCC16C" w14:textId="38C4670F" w:rsidR="003A338F" w:rsidRPr="004C3647" w:rsidRDefault="003A338F" w:rsidP="004C3647">
      <w:pPr>
        <w:pStyle w:val="NormalnyWeb"/>
        <w:numPr>
          <w:ilvl w:val="0"/>
          <w:numId w:val="20"/>
        </w:numPr>
        <w:spacing w:before="240" w:beforeAutospacing="0" w:after="0" w:afterAutospacing="0"/>
        <w:textAlignment w:val="baseline"/>
        <w:rPr>
          <w:rFonts w:ascii="Garamond" w:hAnsi="Garamond"/>
          <w:color w:val="000000"/>
        </w:rPr>
      </w:pPr>
      <w:r w:rsidRPr="004C3647">
        <w:rPr>
          <w:rFonts w:ascii="Garamond" w:hAnsi="Garamond"/>
          <w:color w:val="000000"/>
        </w:rPr>
        <w:t>Usunięto „zaufane podmioty sygnalizujące” z katalogu podmiotów, które mogą składać wniosek do Prezesa UKE/Przewodniczącego KRRiT o wydanie nakazu blokowania nielegalnych treści (zob. także „Rola zaufanych podmiotów sygnalizujących niżej”)</w:t>
      </w:r>
      <w:r w:rsidR="00163672">
        <w:rPr>
          <w:rFonts w:ascii="Garamond" w:hAnsi="Garamond"/>
          <w:color w:val="000000"/>
        </w:rPr>
        <w:t>.</w:t>
      </w:r>
    </w:p>
    <w:p w14:paraId="529DC919" w14:textId="114996CE" w:rsidR="003A338F" w:rsidRPr="004C3647" w:rsidRDefault="003A338F" w:rsidP="00163672">
      <w:pPr>
        <w:pStyle w:val="NormalnyWeb"/>
        <w:numPr>
          <w:ilvl w:val="0"/>
          <w:numId w:val="20"/>
        </w:numPr>
        <w:spacing w:before="0" w:beforeAutospacing="0" w:after="0" w:afterAutospacing="0"/>
        <w:textAlignment w:val="baseline"/>
        <w:rPr>
          <w:rFonts w:ascii="Garamond" w:hAnsi="Garamond"/>
          <w:color w:val="000000"/>
        </w:rPr>
      </w:pPr>
      <w:r w:rsidRPr="004C3647">
        <w:rPr>
          <w:rFonts w:ascii="Garamond" w:hAnsi="Garamond"/>
          <w:color w:val="000000"/>
        </w:rPr>
        <w:t>Dodano wymóg niezależności politycznej osób biorących udział w procedurze wydawania nakazów blokowania nielegalnych treści</w:t>
      </w:r>
      <w:r w:rsidR="00163672">
        <w:rPr>
          <w:rFonts w:ascii="Garamond" w:hAnsi="Garamond"/>
          <w:color w:val="000000"/>
        </w:rPr>
        <w:t>.</w:t>
      </w:r>
    </w:p>
    <w:p w14:paraId="6EF0A443" w14:textId="2F12D56B" w:rsidR="003A338F" w:rsidRPr="004C3647" w:rsidRDefault="003A338F" w:rsidP="004C3647">
      <w:pPr>
        <w:pStyle w:val="NormalnyWeb"/>
        <w:numPr>
          <w:ilvl w:val="0"/>
          <w:numId w:val="20"/>
        </w:numPr>
        <w:spacing w:before="0" w:beforeAutospacing="0" w:after="240" w:afterAutospacing="0"/>
        <w:textAlignment w:val="baseline"/>
      </w:pPr>
      <w:r w:rsidRPr="004C3647">
        <w:rPr>
          <w:rFonts w:ascii="Garamond" w:hAnsi="Garamond"/>
          <w:color w:val="000000"/>
        </w:rPr>
        <w:t>Wprowadzono publiczny rejestr decyzji dotyczących nakazów blokowania nielegalnych treści.</w:t>
      </w:r>
    </w:p>
    <w:p w14:paraId="5A422B1D" w14:textId="77777777" w:rsidR="00AA769F" w:rsidRDefault="000E19D6" w:rsidP="00AA769F">
      <w:pPr>
        <w:pStyle w:val="Nagwek1"/>
      </w:pPr>
      <w:r w:rsidRPr="000E19D6">
        <w:t xml:space="preserve">Lista przestępstw, które mogą być podstawą blokady przez </w:t>
      </w:r>
      <w:r w:rsidR="00AA769F">
        <w:t xml:space="preserve">Prezesa </w:t>
      </w:r>
      <w:r w:rsidRPr="000E19D6">
        <w:t>UKE</w:t>
      </w:r>
    </w:p>
    <w:p w14:paraId="377CD160" w14:textId="77777777" w:rsidR="00E24563" w:rsidRDefault="00E24563" w:rsidP="00E24563">
      <w:pPr>
        <w:pStyle w:val="Body1"/>
        <w:contextualSpacing/>
        <w:rPr>
          <w:lang w:val="pl-PL"/>
        </w:rPr>
      </w:pPr>
      <w:r>
        <w:rPr>
          <w:lang w:val="pl-PL"/>
        </w:rPr>
        <w:t>Katalog obejmuje 27 przestępstw:</w:t>
      </w:r>
    </w:p>
    <w:p w14:paraId="4A79218C" w14:textId="77777777" w:rsidR="000E19D6" w:rsidRPr="000E19D6" w:rsidRDefault="000E19D6" w:rsidP="00E24563">
      <w:pPr>
        <w:pStyle w:val="Body1"/>
        <w:numPr>
          <w:ilvl w:val="0"/>
          <w:numId w:val="18"/>
        </w:numPr>
        <w:ind w:left="1066" w:hanging="709"/>
        <w:contextualSpacing/>
        <w:rPr>
          <w:lang w:val="pl-PL"/>
        </w:rPr>
      </w:pPr>
      <w:r w:rsidRPr="000E19D6">
        <w:rPr>
          <w:lang w:val="pl-PL"/>
        </w:rPr>
        <w:t>stosowanie przemocy lub groźby karalnej ze względu na rasę, pochodzenie narodowe lub etniczne, wyznanie bądź bezwyznaniowość i przynależność polityczną. (art. 119 ustawy Kodeks karny, dalej jako „KK”)</w:t>
      </w:r>
      <w:r w:rsidR="00AA769F">
        <w:rPr>
          <w:lang w:val="pl-PL"/>
        </w:rPr>
        <w:t>,</w:t>
      </w:r>
    </w:p>
    <w:p w14:paraId="2408D140" w14:textId="77777777" w:rsidR="000E19D6" w:rsidRPr="000E19D6" w:rsidRDefault="000E19D6" w:rsidP="00E24563">
      <w:pPr>
        <w:pStyle w:val="Body1"/>
        <w:numPr>
          <w:ilvl w:val="0"/>
          <w:numId w:val="18"/>
        </w:numPr>
        <w:ind w:left="1066" w:hanging="709"/>
        <w:contextualSpacing/>
        <w:rPr>
          <w:lang w:val="pl-PL"/>
        </w:rPr>
      </w:pPr>
      <w:r w:rsidRPr="000E19D6">
        <w:rPr>
          <w:lang w:val="pl-PL"/>
        </w:rPr>
        <w:t>przyjęcie zlecenia zabójstwa człowieka w zamian za udzieloną lub obiecaną korzyść majątkową lub osobistą (art. 148a KK)</w:t>
      </w:r>
      <w:r w:rsidR="00AA769F">
        <w:rPr>
          <w:lang w:val="pl-PL"/>
        </w:rPr>
        <w:t>,</w:t>
      </w:r>
    </w:p>
    <w:p w14:paraId="0150527B" w14:textId="77777777" w:rsidR="000E19D6" w:rsidRPr="000E19D6" w:rsidRDefault="000E19D6" w:rsidP="00E24563">
      <w:pPr>
        <w:pStyle w:val="Body1"/>
        <w:numPr>
          <w:ilvl w:val="0"/>
          <w:numId w:val="18"/>
        </w:numPr>
        <w:ind w:left="1066" w:hanging="709"/>
        <w:contextualSpacing/>
        <w:rPr>
          <w:lang w:val="pl-PL"/>
        </w:rPr>
      </w:pPr>
      <w:r w:rsidRPr="000E19D6">
        <w:rPr>
          <w:lang w:val="pl-PL"/>
        </w:rPr>
        <w:t>namowa i pomoc w doprowadzeniu do samobójstwa (art. 151 KK)</w:t>
      </w:r>
      <w:r w:rsidR="00AA769F">
        <w:rPr>
          <w:lang w:val="pl-PL"/>
        </w:rPr>
        <w:t>,</w:t>
      </w:r>
    </w:p>
    <w:p w14:paraId="0178DE14" w14:textId="77777777" w:rsidR="000E19D6" w:rsidRPr="000E19D6" w:rsidRDefault="000E19D6" w:rsidP="00E24563">
      <w:pPr>
        <w:pStyle w:val="Body1"/>
        <w:numPr>
          <w:ilvl w:val="0"/>
          <w:numId w:val="18"/>
        </w:numPr>
        <w:ind w:left="1066" w:hanging="709"/>
        <w:contextualSpacing/>
        <w:rPr>
          <w:lang w:val="pl-PL"/>
        </w:rPr>
      </w:pPr>
      <w:r w:rsidRPr="000E19D6">
        <w:rPr>
          <w:lang w:val="pl-PL"/>
        </w:rPr>
        <w:t>nakłanianie innej osoby do spowodowania u niej ciężkiego uszczerbku na zdrowiu (art. 156a KK)</w:t>
      </w:r>
      <w:r w:rsidR="00AA769F">
        <w:rPr>
          <w:lang w:val="pl-PL"/>
        </w:rPr>
        <w:t>,</w:t>
      </w:r>
    </w:p>
    <w:p w14:paraId="14EC4AE2" w14:textId="77777777" w:rsidR="000E19D6" w:rsidRPr="000E19D6" w:rsidRDefault="000E19D6" w:rsidP="00E24563">
      <w:pPr>
        <w:pStyle w:val="Body1"/>
        <w:numPr>
          <w:ilvl w:val="0"/>
          <w:numId w:val="18"/>
        </w:numPr>
        <w:ind w:left="1066" w:hanging="709"/>
        <w:contextualSpacing/>
        <w:rPr>
          <w:lang w:val="pl-PL"/>
        </w:rPr>
      </w:pPr>
      <w:r w:rsidRPr="000E19D6">
        <w:rPr>
          <w:lang w:val="pl-PL"/>
        </w:rPr>
        <w:t>handel ludźmi (art. 189a KK)</w:t>
      </w:r>
      <w:r w:rsidR="00AA769F">
        <w:rPr>
          <w:lang w:val="pl-PL"/>
        </w:rPr>
        <w:t>,</w:t>
      </w:r>
    </w:p>
    <w:p w14:paraId="4801861F" w14:textId="77777777" w:rsidR="000E19D6" w:rsidRPr="000E19D6" w:rsidRDefault="000E19D6" w:rsidP="00E24563">
      <w:pPr>
        <w:pStyle w:val="Body1"/>
        <w:numPr>
          <w:ilvl w:val="0"/>
          <w:numId w:val="18"/>
        </w:numPr>
        <w:ind w:left="1066" w:hanging="709"/>
        <w:contextualSpacing/>
        <w:rPr>
          <w:lang w:val="pl-PL"/>
        </w:rPr>
      </w:pPr>
      <w:r w:rsidRPr="000E19D6">
        <w:rPr>
          <w:lang w:val="pl-PL"/>
        </w:rPr>
        <w:t>stosowanie groźby karalnej (art. 190 KK)</w:t>
      </w:r>
      <w:r w:rsidR="00AA769F">
        <w:rPr>
          <w:lang w:val="pl-PL"/>
        </w:rPr>
        <w:t>,</w:t>
      </w:r>
    </w:p>
    <w:p w14:paraId="7D831F6C" w14:textId="77777777" w:rsidR="000E19D6" w:rsidRPr="000E19D6" w:rsidRDefault="000E19D6" w:rsidP="00E24563">
      <w:pPr>
        <w:pStyle w:val="Body1"/>
        <w:numPr>
          <w:ilvl w:val="0"/>
          <w:numId w:val="18"/>
        </w:numPr>
        <w:ind w:left="1066" w:hanging="709"/>
        <w:contextualSpacing/>
        <w:rPr>
          <w:lang w:val="pl-PL"/>
        </w:rPr>
      </w:pPr>
      <w:r w:rsidRPr="000E19D6">
        <w:rPr>
          <w:lang w:val="pl-PL"/>
        </w:rPr>
        <w:t>wykorzystanie wizerunku pokrzywdzonego, tak jakby uczynił to on sam w swoim imieniu, przez co wyrządza jej szkodę majątkową lub osobistą (art. 190a § 2 KK)</w:t>
      </w:r>
      <w:r w:rsidR="00AA769F">
        <w:rPr>
          <w:lang w:val="pl-PL"/>
        </w:rPr>
        <w:t>,</w:t>
      </w:r>
    </w:p>
    <w:p w14:paraId="2A5977C2" w14:textId="77777777" w:rsidR="000E19D6" w:rsidRPr="000E19D6" w:rsidRDefault="000E19D6" w:rsidP="00E24563">
      <w:pPr>
        <w:pStyle w:val="Body1"/>
        <w:numPr>
          <w:ilvl w:val="0"/>
          <w:numId w:val="18"/>
        </w:numPr>
        <w:ind w:left="1066" w:hanging="709"/>
        <w:contextualSpacing/>
        <w:rPr>
          <w:lang w:val="pl-PL"/>
        </w:rPr>
      </w:pPr>
      <w:r w:rsidRPr="000E19D6">
        <w:rPr>
          <w:lang w:val="pl-PL"/>
        </w:rPr>
        <w:t xml:space="preserve">utrwalanie wizerunku nagiej osoby lub osoby w trakcie czynności seksualnej, używając w tym celu wobec niej przemocy, groźby bezprawnej lub podstępu, albo </w:t>
      </w:r>
      <w:r w:rsidRPr="000E19D6">
        <w:rPr>
          <w:lang w:val="pl-PL"/>
        </w:rPr>
        <w:lastRenderedPageBreak/>
        <w:t>rozpowszechnianie wizerunku nagiej osoby lub osoby w trakcie czynności seksualnej bez jej zgody (art. 191a § 1 KK)</w:t>
      </w:r>
      <w:r w:rsidR="00AA769F">
        <w:rPr>
          <w:lang w:val="pl-PL"/>
        </w:rPr>
        <w:t>,</w:t>
      </w:r>
    </w:p>
    <w:p w14:paraId="45541B54" w14:textId="77777777" w:rsidR="000E19D6" w:rsidRPr="000E19D6" w:rsidRDefault="000E19D6" w:rsidP="00E24563">
      <w:pPr>
        <w:pStyle w:val="Body1"/>
        <w:numPr>
          <w:ilvl w:val="0"/>
          <w:numId w:val="18"/>
        </w:numPr>
        <w:ind w:left="1066" w:hanging="709"/>
        <w:contextualSpacing/>
        <w:rPr>
          <w:lang w:val="pl-PL"/>
        </w:rPr>
      </w:pPr>
      <w:r w:rsidRPr="000E19D6">
        <w:rPr>
          <w:lang w:val="pl-PL"/>
        </w:rPr>
        <w:t>prezentowanie małoletniemu poniżej lat 15 treści pornograficznych albo rozpowszechnianie treści pornograficznych w sposób umożliwiający takiemu małoletniemu zapoznanie się z nimi (art. 200 § 3 KK)</w:t>
      </w:r>
      <w:r w:rsidR="00AA769F">
        <w:rPr>
          <w:lang w:val="pl-PL"/>
        </w:rPr>
        <w:t>,</w:t>
      </w:r>
    </w:p>
    <w:p w14:paraId="46A934CA" w14:textId="77777777" w:rsidR="000E19D6" w:rsidRPr="000E19D6" w:rsidRDefault="000E19D6" w:rsidP="00E24563">
      <w:pPr>
        <w:pStyle w:val="Body1"/>
        <w:numPr>
          <w:ilvl w:val="0"/>
          <w:numId w:val="18"/>
        </w:numPr>
        <w:ind w:left="1066" w:hanging="709"/>
        <w:contextualSpacing/>
        <w:rPr>
          <w:lang w:val="pl-PL"/>
        </w:rPr>
      </w:pPr>
      <w:r w:rsidRPr="000E19D6">
        <w:rPr>
          <w:lang w:val="pl-PL"/>
        </w:rPr>
        <w:t>prowadzenie reklamy lub promocji działalności polegającej na rozpowszechnianiu treści pornograficznych w sposób umożliwiający zapoznanie się z nimi małoletniemu poniżej lat 15 (art. 200 § 5 KK)</w:t>
      </w:r>
      <w:r w:rsidR="00AA769F">
        <w:rPr>
          <w:lang w:val="pl-PL"/>
        </w:rPr>
        <w:t>,</w:t>
      </w:r>
    </w:p>
    <w:p w14:paraId="645B09F7" w14:textId="77777777" w:rsidR="000E19D6" w:rsidRPr="000E19D6" w:rsidRDefault="000E19D6" w:rsidP="00E24563">
      <w:pPr>
        <w:pStyle w:val="Body1"/>
        <w:numPr>
          <w:ilvl w:val="0"/>
          <w:numId w:val="18"/>
        </w:numPr>
        <w:ind w:left="1066" w:hanging="709"/>
        <w:contextualSpacing/>
        <w:rPr>
          <w:lang w:val="pl-PL"/>
        </w:rPr>
      </w:pPr>
      <w:r w:rsidRPr="000E19D6">
        <w:rPr>
          <w:lang w:val="pl-PL"/>
        </w:rPr>
        <w:t>nawiązywanie kontaktu z małoletnim poniżej 15 lat, za pośrednictwem systemu teleinformatycznego lub sieci telekomunikacyjnej, w celu popełnienia przestępstwa seksualnego (art. 200a KK)</w:t>
      </w:r>
      <w:r w:rsidR="00AA769F">
        <w:rPr>
          <w:lang w:val="pl-PL"/>
        </w:rPr>
        <w:t>,</w:t>
      </w:r>
    </w:p>
    <w:p w14:paraId="139A27BE" w14:textId="2F06687E" w:rsidR="000E19D6" w:rsidRPr="000E19D6" w:rsidRDefault="000E19D6" w:rsidP="00E24563">
      <w:pPr>
        <w:pStyle w:val="Body1"/>
        <w:numPr>
          <w:ilvl w:val="0"/>
          <w:numId w:val="18"/>
        </w:numPr>
        <w:ind w:left="1066" w:hanging="709"/>
        <w:contextualSpacing/>
        <w:rPr>
          <w:lang w:val="pl-PL"/>
        </w:rPr>
      </w:pPr>
      <w:r w:rsidRPr="000E19D6">
        <w:rPr>
          <w:lang w:val="pl-PL"/>
        </w:rPr>
        <w:t>publiczne propagowanie lub pochwalanie zachowań o charakterze pedofilskim (art.</w:t>
      </w:r>
      <w:r w:rsidR="00163672">
        <w:rPr>
          <w:lang w:val="pl-PL"/>
        </w:rPr>
        <w:t> </w:t>
      </w:r>
      <w:r w:rsidRPr="000E19D6">
        <w:rPr>
          <w:lang w:val="pl-PL"/>
        </w:rPr>
        <w:t>200b KK)</w:t>
      </w:r>
      <w:r w:rsidR="00AA769F">
        <w:rPr>
          <w:lang w:val="pl-PL"/>
        </w:rPr>
        <w:t>,</w:t>
      </w:r>
    </w:p>
    <w:p w14:paraId="1BF363CA" w14:textId="77777777" w:rsidR="000E19D6" w:rsidRPr="000E19D6" w:rsidRDefault="000E19D6" w:rsidP="00E24563">
      <w:pPr>
        <w:pStyle w:val="Body1"/>
        <w:numPr>
          <w:ilvl w:val="0"/>
          <w:numId w:val="18"/>
        </w:numPr>
        <w:ind w:left="1066" w:hanging="709"/>
        <w:contextualSpacing/>
        <w:rPr>
          <w:lang w:val="pl-PL"/>
        </w:rPr>
      </w:pPr>
      <w:r w:rsidRPr="000E19D6">
        <w:rPr>
          <w:lang w:val="pl-PL"/>
        </w:rPr>
        <w:t>publiczne prezentowanie, produkcja, rozpowszechnianie, przechowywanie treści pornograficznych, zwłaszcza z udziałem małoletnich (art. 202 § 1, 3-4c KK)</w:t>
      </w:r>
      <w:r w:rsidR="00AA769F">
        <w:rPr>
          <w:lang w:val="pl-PL"/>
        </w:rPr>
        <w:t>,</w:t>
      </w:r>
    </w:p>
    <w:p w14:paraId="634805F6" w14:textId="77777777" w:rsidR="000E19D6" w:rsidRPr="000E19D6" w:rsidRDefault="000E19D6" w:rsidP="00E24563">
      <w:pPr>
        <w:pStyle w:val="Body1"/>
        <w:numPr>
          <w:ilvl w:val="0"/>
          <w:numId w:val="18"/>
        </w:numPr>
        <w:ind w:left="1066" w:hanging="709"/>
        <w:contextualSpacing/>
        <w:rPr>
          <w:lang w:val="pl-PL"/>
        </w:rPr>
      </w:pPr>
      <w:r w:rsidRPr="000E19D6">
        <w:rPr>
          <w:lang w:val="pl-PL"/>
        </w:rPr>
        <w:t>zawiadomienie o nieistniejącym zagrożeniu, wywołującego działania instytucji publicznych (art. 224a KK)</w:t>
      </w:r>
      <w:r w:rsidR="00AA769F">
        <w:rPr>
          <w:lang w:val="pl-PL"/>
        </w:rPr>
        <w:t>,</w:t>
      </w:r>
    </w:p>
    <w:p w14:paraId="5D199671" w14:textId="28769F89" w:rsidR="000E19D6" w:rsidRPr="000E19D6" w:rsidRDefault="000E19D6" w:rsidP="00E24563">
      <w:pPr>
        <w:pStyle w:val="Body1"/>
        <w:numPr>
          <w:ilvl w:val="0"/>
          <w:numId w:val="18"/>
        </w:numPr>
        <w:ind w:left="1066" w:hanging="709"/>
        <w:contextualSpacing/>
        <w:rPr>
          <w:lang w:val="pl-PL"/>
        </w:rPr>
      </w:pPr>
      <w:r w:rsidRPr="000E19D6">
        <w:rPr>
          <w:lang w:val="pl-PL"/>
        </w:rPr>
        <w:t>publiczne propagowanie totalitarnych ideologii (nazizmu, komunizmu, faszyzmu lub</w:t>
      </w:r>
      <w:r w:rsidR="00163672" w:rsidRPr="00163672">
        <w:rPr>
          <w:lang w:val="pl-PL"/>
        </w:rPr>
        <w:t> </w:t>
      </w:r>
      <w:r w:rsidRPr="000E19D6">
        <w:rPr>
          <w:lang w:val="pl-PL"/>
        </w:rPr>
        <w:t>innego ustroju totalitarnego, lub nawoływaniem do nienawiści na tle różnic narodowościowych, etnicznych, rasowych, wyznaniowych albo ze względu na</w:t>
      </w:r>
      <w:r w:rsidR="00163672">
        <w:rPr>
          <w:lang w:val="pl-PL"/>
        </w:rPr>
        <w:t> </w:t>
      </w:r>
      <w:r w:rsidRPr="000E19D6">
        <w:rPr>
          <w:lang w:val="pl-PL"/>
        </w:rPr>
        <w:t>bezwyznaniowość (art. 256 § 1 i 1a KK)</w:t>
      </w:r>
      <w:r w:rsidR="00AA769F">
        <w:rPr>
          <w:lang w:val="pl-PL"/>
        </w:rPr>
        <w:t>,</w:t>
      </w:r>
    </w:p>
    <w:p w14:paraId="39AD525B" w14:textId="77777777" w:rsidR="000E19D6" w:rsidRPr="000E19D6" w:rsidRDefault="000E19D6" w:rsidP="00E24563">
      <w:pPr>
        <w:pStyle w:val="Body1"/>
        <w:numPr>
          <w:ilvl w:val="0"/>
          <w:numId w:val="18"/>
        </w:numPr>
        <w:ind w:left="1066" w:hanging="709"/>
        <w:contextualSpacing/>
        <w:rPr>
          <w:lang w:val="pl-PL"/>
        </w:rPr>
      </w:pPr>
      <w:r w:rsidRPr="000E19D6">
        <w:rPr>
          <w:lang w:val="pl-PL"/>
        </w:rPr>
        <w:t>produkowanie, utrwalanie lub sprowadzanie, nabywanie, zbywanie, oferowanie, przechowywanie, posiadanie, prezentowanie treści określonych w art. 256 § 1 i 1a, użytej w sposób służący propagowaniu tej treści (art. 256 § 2 KK)</w:t>
      </w:r>
      <w:r w:rsidR="00AA769F">
        <w:rPr>
          <w:lang w:val="pl-PL"/>
        </w:rPr>
        <w:t>,</w:t>
      </w:r>
    </w:p>
    <w:p w14:paraId="493D36B6" w14:textId="77777777" w:rsidR="000E19D6" w:rsidRPr="000E19D6" w:rsidRDefault="000E19D6" w:rsidP="00E24563">
      <w:pPr>
        <w:pStyle w:val="Body1"/>
        <w:numPr>
          <w:ilvl w:val="0"/>
          <w:numId w:val="18"/>
        </w:numPr>
        <w:ind w:left="1066" w:hanging="709"/>
        <w:contextualSpacing/>
        <w:rPr>
          <w:lang w:val="pl-PL"/>
        </w:rPr>
      </w:pPr>
      <w:r w:rsidRPr="000E19D6">
        <w:rPr>
          <w:lang w:val="pl-PL"/>
        </w:rPr>
        <w:t>publiczne znieważenie grupy ludności albo osoby lub naruszenie nietykalności cielesnej osoby z powodu przynależności narodowej, etnicznej, rasowej, wyznaniowej (art. 257 KK)</w:t>
      </w:r>
      <w:r w:rsidR="00AA769F">
        <w:rPr>
          <w:lang w:val="pl-PL"/>
        </w:rPr>
        <w:t>,</w:t>
      </w:r>
    </w:p>
    <w:p w14:paraId="4C68D329" w14:textId="77777777" w:rsidR="000E19D6" w:rsidRPr="000E19D6" w:rsidRDefault="000E19D6" w:rsidP="00E24563">
      <w:pPr>
        <w:pStyle w:val="Body1"/>
        <w:numPr>
          <w:ilvl w:val="0"/>
          <w:numId w:val="18"/>
        </w:numPr>
        <w:ind w:left="1066" w:hanging="709"/>
        <w:contextualSpacing/>
        <w:rPr>
          <w:lang w:val="pl-PL"/>
        </w:rPr>
      </w:pPr>
      <w:r w:rsidRPr="000E19D6">
        <w:rPr>
          <w:lang w:val="pl-PL"/>
        </w:rPr>
        <w:t>doprowadzenie do niekorzystnego rozporządzenia mieniem przez wprowadzenie w</w:t>
      </w:r>
      <w:r w:rsidR="00AA769F">
        <w:rPr>
          <w:lang w:val="pl-PL"/>
        </w:rPr>
        <w:t> </w:t>
      </w:r>
      <w:r w:rsidRPr="000E19D6">
        <w:rPr>
          <w:lang w:val="pl-PL"/>
        </w:rPr>
        <w:t>błąd (art. 286 § 1 i 2 KK)</w:t>
      </w:r>
      <w:r w:rsidR="00AA769F">
        <w:rPr>
          <w:lang w:val="pl-PL"/>
        </w:rPr>
        <w:t>,</w:t>
      </w:r>
    </w:p>
    <w:p w14:paraId="6C79AD13" w14:textId="77777777" w:rsidR="000E19D6" w:rsidRPr="000E19D6" w:rsidRDefault="000E19D6" w:rsidP="00E24563">
      <w:pPr>
        <w:pStyle w:val="Body1"/>
        <w:numPr>
          <w:ilvl w:val="0"/>
          <w:numId w:val="18"/>
        </w:numPr>
        <w:ind w:left="1066" w:hanging="709"/>
        <w:contextualSpacing/>
        <w:rPr>
          <w:lang w:val="pl-PL"/>
        </w:rPr>
      </w:pPr>
      <w:r w:rsidRPr="000E19D6">
        <w:rPr>
          <w:lang w:val="pl-PL"/>
        </w:rPr>
        <w:t>oszustwo komputerowe (art. 287 § 1 KK)</w:t>
      </w:r>
      <w:r w:rsidR="00AA769F">
        <w:rPr>
          <w:lang w:val="pl-PL"/>
        </w:rPr>
        <w:t>,</w:t>
      </w:r>
    </w:p>
    <w:p w14:paraId="12F1A24C" w14:textId="4DAEEBE2" w:rsidR="000E19D6" w:rsidRPr="000E19D6" w:rsidRDefault="000E19D6" w:rsidP="00E24563">
      <w:pPr>
        <w:pStyle w:val="Body1"/>
        <w:numPr>
          <w:ilvl w:val="0"/>
          <w:numId w:val="18"/>
        </w:numPr>
        <w:ind w:left="1066" w:hanging="709"/>
        <w:contextualSpacing/>
        <w:rPr>
          <w:lang w:val="pl-PL"/>
        </w:rPr>
      </w:pPr>
      <w:r w:rsidRPr="000E19D6">
        <w:rPr>
          <w:lang w:val="pl-PL"/>
        </w:rPr>
        <w:t>naruszenie praw autorskich przez rozpowszechnianie utworów bez zgody autora (art.</w:t>
      </w:r>
      <w:r w:rsidR="00163672">
        <w:rPr>
          <w:lang w:val="pl-PL"/>
        </w:rPr>
        <w:t> </w:t>
      </w:r>
      <w:r w:rsidRPr="000E19D6">
        <w:rPr>
          <w:lang w:val="pl-PL"/>
        </w:rPr>
        <w:t>116 ustawy o prawie autorskim i prawach pokrewnych)</w:t>
      </w:r>
      <w:r w:rsidR="00AA769F">
        <w:rPr>
          <w:lang w:val="pl-PL"/>
        </w:rPr>
        <w:t>,</w:t>
      </w:r>
    </w:p>
    <w:p w14:paraId="5AEC02C4" w14:textId="77777777" w:rsidR="000E19D6" w:rsidRPr="000E19D6" w:rsidRDefault="000E19D6" w:rsidP="00E24563">
      <w:pPr>
        <w:pStyle w:val="Body1"/>
        <w:numPr>
          <w:ilvl w:val="0"/>
          <w:numId w:val="18"/>
        </w:numPr>
        <w:ind w:left="1066" w:hanging="709"/>
        <w:contextualSpacing/>
        <w:rPr>
          <w:lang w:val="pl-PL"/>
        </w:rPr>
      </w:pPr>
      <w:r w:rsidRPr="000E19D6">
        <w:rPr>
          <w:lang w:val="pl-PL"/>
        </w:rPr>
        <w:t>uchylanie się od opodatkowania (art. 54 ustawy Kodeks karny skarbowy, dalej jako „KKS”)</w:t>
      </w:r>
      <w:r w:rsidR="00AA769F">
        <w:rPr>
          <w:lang w:val="pl-PL"/>
        </w:rPr>
        <w:t>,</w:t>
      </w:r>
    </w:p>
    <w:p w14:paraId="2B330C25" w14:textId="77777777" w:rsidR="000E19D6" w:rsidRPr="000E19D6" w:rsidRDefault="000E19D6" w:rsidP="00E24563">
      <w:pPr>
        <w:pStyle w:val="Body1"/>
        <w:numPr>
          <w:ilvl w:val="0"/>
          <w:numId w:val="18"/>
        </w:numPr>
        <w:ind w:left="1066" w:hanging="709"/>
        <w:contextualSpacing/>
        <w:rPr>
          <w:lang w:val="pl-PL"/>
        </w:rPr>
      </w:pPr>
      <w:r w:rsidRPr="000E19D6">
        <w:rPr>
          <w:lang w:val="pl-PL"/>
        </w:rPr>
        <w:t>oszustwo podatkowe (art. 56 KKS)</w:t>
      </w:r>
      <w:r w:rsidR="00AA769F">
        <w:rPr>
          <w:lang w:val="pl-PL"/>
        </w:rPr>
        <w:t>,</w:t>
      </w:r>
    </w:p>
    <w:p w14:paraId="6065B358" w14:textId="77777777" w:rsidR="000E19D6" w:rsidRPr="000E19D6" w:rsidRDefault="000E19D6" w:rsidP="00E24563">
      <w:pPr>
        <w:pStyle w:val="Body1"/>
        <w:numPr>
          <w:ilvl w:val="0"/>
          <w:numId w:val="18"/>
        </w:numPr>
        <w:ind w:left="1066" w:hanging="709"/>
        <w:contextualSpacing/>
        <w:rPr>
          <w:lang w:val="pl-PL"/>
        </w:rPr>
      </w:pPr>
      <w:r w:rsidRPr="000E19D6">
        <w:rPr>
          <w:lang w:val="pl-PL"/>
        </w:rPr>
        <w:t>niewystawienie faktury lub rachunku (art. 62 KKS)</w:t>
      </w:r>
      <w:r w:rsidR="00AA769F">
        <w:rPr>
          <w:lang w:val="pl-PL"/>
        </w:rPr>
        <w:t>,</w:t>
      </w:r>
    </w:p>
    <w:p w14:paraId="389E10E2" w14:textId="77777777" w:rsidR="000E19D6" w:rsidRPr="000E19D6" w:rsidRDefault="000E19D6" w:rsidP="00E24563">
      <w:pPr>
        <w:pStyle w:val="Body1"/>
        <w:numPr>
          <w:ilvl w:val="0"/>
          <w:numId w:val="18"/>
        </w:numPr>
        <w:ind w:left="1066" w:hanging="709"/>
        <w:contextualSpacing/>
        <w:rPr>
          <w:lang w:val="pl-PL"/>
        </w:rPr>
      </w:pPr>
      <w:r w:rsidRPr="000E19D6">
        <w:rPr>
          <w:lang w:val="pl-PL"/>
        </w:rPr>
        <w:t>sprzedaż bez uprzedniego prawidłowego oznaczenia znakami akcyzy (art. 63a KKS)</w:t>
      </w:r>
      <w:r w:rsidR="00AA769F">
        <w:rPr>
          <w:lang w:val="pl-PL"/>
        </w:rPr>
        <w:t>,</w:t>
      </w:r>
    </w:p>
    <w:p w14:paraId="22FA86BE" w14:textId="77777777" w:rsidR="000E19D6" w:rsidRPr="000E19D6" w:rsidRDefault="000E19D6" w:rsidP="00E24563">
      <w:pPr>
        <w:pStyle w:val="Body1"/>
        <w:numPr>
          <w:ilvl w:val="0"/>
          <w:numId w:val="18"/>
        </w:numPr>
        <w:ind w:left="1066" w:hanging="709"/>
        <w:contextualSpacing/>
        <w:rPr>
          <w:lang w:val="pl-PL"/>
        </w:rPr>
      </w:pPr>
      <w:r w:rsidRPr="000E19D6">
        <w:rPr>
          <w:lang w:val="pl-PL"/>
        </w:rPr>
        <w:t>oszustwo celne (art. 87 KKS)</w:t>
      </w:r>
      <w:r w:rsidR="00AA769F">
        <w:rPr>
          <w:lang w:val="pl-PL"/>
        </w:rPr>
        <w:t>,</w:t>
      </w:r>
    </w:p>
    <w:p w14:paraId="000FFC4C" w14:textId="77777777" w:rsidR="000E19D6" w:rsidRPr="000E19D6" w:rsidRDefault="000E19D6" w:rsidP="00E24563">
      <w:pPr>
        <w:pStyle w:val="Body1"/>
        <w:numPr>
          <w:ilvl w:val="0"/>
          <w:numId w:val="18"/>
        </w:numPr>
        <w:ind w:left="1066" w:hanging="709"/>
        <w:contextualSpacing/>
        <w:rPr>
          <w:lang w:val="pl-PL"/>
        </w:rPr>
      </w:pPr>
      <w:r w:rsidRPr="000E19D6">
        <w:rPr>
          <w:lang w:val="pl-PL"/>
        </w:rPr>
        <w:t>zakaz sprzedaży na odległość wyrobów tytoniowych (art. 12c pkt 5 ustawy o ochronie zdrowia przed następstwami używania tytoniu i wyrobów tytoniowych)</w:t>
      </w:r>
      <w:r w:rsidR="00AA769F">
        <w:rPr>
          <w:lang w:val="pl-PL"/>
        </w:rPr>
        <w:t>,</w:t>
      </w:r>
    </w:p>
    <w:p w14:paraId="004E97DA" w14:textId="77777777" w:rsidR="000E19D6" w:rsidRPr="000E19D6" w:rsidRDefault="000E19D6" w:rsidP="00E24563">
      <w:pPr>
        <w:pStyle w:val="Body1"/>
        <w:numPr>
          <w:ilvl w:val="0"/>
          <w:numId w:val="18"/>
        </w:numPr>
        <w:ind w:left="1066" w:hanging="709"/>
        <w:contextualSpacing/>
        <w:rPr>
          <w:lang w:val="pl-PL"/>
        </w:rPr>
      </w:pPr>
      <w:r w:rsidRPr="000E19D6">
        <w:rPr>
          <w:lang w:val="pl-PL"/>
        </w:rPr>
        <w:t>podrobiony znak towarowy (art. 305 ustawy Prawo własności przemysłowej).</w:t>
      </w:r>
    </w:p>
    <w:p w14:paraId="62242810" w14:textId="77777777" w:rsidR="00AA769F" w:rsidRPr="00AA769F" w:rsidRDefault="000E19D6" w:rsidP="00AA769F">
      <w:pPr>
        <w:pStyle w:val="Nagwek1"/>
      </w:pPr>
      <w:r w:rsidRPr="00AA769F">
        <w:lastRenderedPageBreak/>
        <w:t>Kontrowersyjna kategoria</w:t>
      </w:r>
      <w:r w:rsidR="00AA769F" w:rsidRPr="00AA769F">
        <w:t>:</w:t>
      </w:r>
      <w:r w:rsidRPr="00AA769F">
        <w:t xml:space="preserve"> mowa nienawiści</w:t>
      </w:r>
    </w:p>
    <w:p w14:paraId="2021D935" w14:textId="404D054B" w:rsidR="000E19D6" w:rsidRPr="000E19D6" w:rsidRDefault="000E19D6" w:rsidP="000E19D6">
      <w:pPr>
        <w:pStyle w:val="Body1"/>
        <w:rPr>
          <w:lang w:val="pl-PL"/>
        </w:rPr>
      </w:pPr>
      <w:r w:rsidRPr="000E19D6">
        <w:rPr>
          <w:lang w:val="pl-PL"/>
        </w:rPr>
        <w:t xml:space="preserve">Mowa nienawiści to nie zwykły </w:t>
      </w:r>
      <w:r w:rsidR="00AA769F">
        <w:rPr>
          <w:lang w:val="pl-PL"/>
        </w:rPr>
        <w:t>„</w:t>
      </w:r>
      <w:r w:rsidRPr="000E19D6">
        <w:rPr>
          <w:lang w:val="pl-PL"/>
        </w:rPr>
        <w:t>hejt”, a tym bardziej (nawet ostra) krytyka. W polskim prawie to</w:t>
      </w:r>
      <w:r w:rsidR="00163672">
        <w:rPr>
          <w:lang w:val="pl-PL"/>
        </w:rPr>
        <w:t> </w:t>
      </w:r>
      <w:r w:rsidRPr="000E19D6">
        <w:rPr>
          <w:lang w:val="pl-PL"/>
        </w:rPr>
        <w:t>bardzo konkretne czyny zabronione opisane w art. 256 i 257 k</w:t>
      </w:r>
      <w:r w:rsidR="00AA769F">
        <w:rPr>
          <w:lang w:val="pl-PL"/>
        </w:rPr>
        <w:t xml:space="preserve">odeksu </w:t>
      </w:r>
      <w:r w:rsidRPr="000E19D6">
        <w:rPr>
          <w:lang w:val="pl-PL"/>
        </w:rPr>
        <w:t>k</w:t>
      </w:r>
      <w:r w:rsidR="00AA769F">
        <w:rPr>
          <w:lang w:val="pl-PL"/>
        </w:rPr>
        <w:t xml:space="preserve">arnego. </w:t>
      </w:r>
      <w:r w:rsidRPr="000E19D6">
        <w:rPr>
          <w:lang w:val="pl-PL"/>
        </w:rPr>
        <w:t>Obejmują skrajne wypowiedzi o podłożu dyskryminacyjnym skierowane przeciwko jasno określonym grupom (narodowym, etnicznym, rasowym, wyznaniowym).</w:t>
      </w:r>
    </w:p>
    <w:p w14:paraId="4D967A2E" w14:textId="77777777" w:rsidR="000E19D6" w:rsidRPr="000E19D6" w:rsidRDefault="00AA769F" w:rsidP="000E19D6">
      <w:pPr>
        <w:pStyle w:val="Body1"/>
        <w:rPr>
          <w:lang w:val="pl-PL"/>
        </w:rPr>
      </w:pPr>
      <w:r>
        <w:rPr>
          <w:lang w:val="pl-PL"/>
        </w:rPr>
        <w:t>P</w:t>
      </w:r>
      <w:r w:rsidR="000E19D6" w:rsidRPr="000E19D6">
        <w:rPr>
          <w:lang w:val="pl-PL"/>
        </w:rPr>
        <w:t xml:space="preserve">rzepisy zawarte w artykułach 256 i 257 </w:t>
      </w:r>
      <w:r>
        <w:rPr>
          <w:lang w:val="pl-PL"/>
        </w:rPr>
        <w:t>k</w:t>
      </w:r>
      <w:r w:rsidR="000E19D6" w:rsidRPr="000E19D6">
        <w:rPr>
          <w:lang w:val="pl-PL"/>
        </w:rPr>
        <w:t>odeksu karnego nie obejmują wszystkich grup społecznych</w:t>
      </w:r>
      <w:r>
        <w:rPr>
          <w:lang w:val="pl-PL"/>
        </w:rPr>
        <w:t>,</w:t>
      </w:r>
      <w:r w:rsidR="000E19D6" w:rsidRPr="000E19D6">
        <w:rPr>
          <w:lang w:val="pl-PL"/>
        </w:rPr>
        <w:t xml:space="preserve"> np. nie odnoszą się do polityków ani do osób LGBT+.</w:t>
      </w:r>
    </w:p>
    <w:p w14:paraId="20DA0BD5" w14:textId="77777777" w:rsidR="000E19D6" w:rsidRPr="000E19D6" w:rsidRDefault="000E19D6" w:rsidP="000E19D6">
      <w:pPr>
        <w:pStyle w:val="Body1"/>
        <w:rPr>
          <w:lang w:val="pl-PL"/>
        </w:rPr>
      </w:pPr>
      <w:r w:rsidRPr="000E19D6">
        <w:rPr>
          <w:lang w:val="pl-PL"/>
        </w:rPr>
        <w:t xml:space="preserve">Krytyka, nawet najsurowsza, skierowana np. wobec migrantów, o ile nie zawiera gróźb śmierci, przemocy seksualnej, nawoływania do eksterminacji ani innych skrajnie agresywnych treści, nie powinna być automatycznie uznawana za mowę nienawiści. Aby doszło do ich złamania, wypowiedź musi przekroczyć określony próg </w:t>
      </w:r>
      <w:r w:rsidR="00AA769F">
        <w:rPr>
          <w:lang w:val="pl-PL"/>
        </w:rPr>
        <w:t>–</w:t>
      </w:r>
      <w:r w:rsidRPr="000E19D6">
        <w:rPr>
          <w:lang w:val="pl-PL"/>
        </w:rPr>
        <w:t xml:space="preserve"> i to w praktyce dość wysoki (wiele spraw jest umarzanych).</w:t>
      </w:r>
    </w:p>
    <w:p w14:paraId="3752DD34" w14:textId="1D648B33" w:rsidR="0055425F" w:rsidRDefault="0055425F" w:rsidP="00AA769F">
      <w:pPr>
        <w:pStyle w:val="Nagwek1"/>
      </w:pPr>
      <w:r>
        <w:t>Rola zaufanych podmiotów sygnalizujących</w:t>
      </w:r>
    </w:p>
    <w:p w14:paraId="3B0BD401" w14:textId="466F85BB" w:rsidR="0055425F" w:rsidRDefault="0055425F" w:rsidP="0055425F">
      <w:r>
        <w:t>W uzasadnieniu weta Prezydent podkreślał, że w ustawie “ukryto [..] możliwość finansowania tzw. zaufanych sygnalistów (chodzi dokładnie o „zaufane podmioty sygnalizujące” z DSA – przyp. Panoptykon), którzy za publiczne pieniądze mieliby wskazywać nieprawomyślne treści i</w:t>
      </w:r>
      <w:r w:rsidR="00163672">
        <w:t> </w:t>
      </w:r>
      <w:r>
        <w:t xml:space="preserve">obywateli, które takie treści wyrażają.” </w:t>
      </w:r>
    </w:p>
    <w:p w14:paraId="372F00A3" w14:textId="1D834822" w:rsidR="0055425F" w:rsidRPr="0055425F" w:rsidRDefault="0055425F" w:rsidP="0055425F">
      <w:r>
        <w:t>To nieporozumienie. Rola zaufanych podmiotów sygnalizujących sprowadza się do zgłaszania platformom nielegalnych treści czyli tych, które są zakazane w polskim lub unijnym prawie, takich jak np. obrazy seksualnego wykorzystywania dzieci, groźby karalne czy oszustwa. Zaufane podmioty nie będą mogły zgłaszać treści (ani tym bardziej „wskazywać nieprawomyślnych obywateli”) które im się subiektywnie nie podobają, ale nie są nielegalne (np. teorii spiskowych). W dodatku ich zgłoszenia nie są dla platform wiążące. To platformy podejmują ostateczną decyzję, czy dany materiał usunąć. Jedyna różnica między podmiotem sygnalizującym a zwykłym użytkownikiem/-czką Internetu, która uzna, że jakaś treść</w:t>
      </w:r>
      <w:r w:rsidR="002F19C7">
        <w:t xml:space="preserve"> jest nielegalna i</w:t>
      </w:r>
      <w:r>
        <w:t xml:space="preserve"> nie powinna znaleźć się na platformie polega na tym, że zgłoszenie od takiego podmiotu powinny być rozpatrzone szybciej.</w:t>
      </w:r>
      <w:r w:rsidR="002F19C7">
        <w:t xml:space="preserve"> Jednocześnie zaufane podmioty </w:t>
      </w:r>
      <w:r w:rsidR="00163672">
        <w:t>sygnalizujące</w:t>
      </w:r>
      <w:r w:rsidR="002F19C7">
        <w:t xml:space="preserve"> muszą się skrupulatnie rozliczać z jakości swojej pracy (m.in. publikować raporty ze swojej działalności i składać je do koordynatora usług cyfrowych). Jeśli nadużywałyby swojej pozycji, grozi im utrata tego statusu. </w:t>
      </w:r>
    </w:p>
    <w:p w14:paraId="6804AB0A" w14:textId="1B931E0B" w:rsidR="000E19D6" w:rsidRPr="000E19D6" w:rsidRDefault="000E19D6" w:rsidP="00AA769F">
      <w:pPr>
        <w:pStyle w:val="Nagwek1"/>
      </w:pPr>
      <w:r w:rsidRPr="000E19D6">
        <w:t>Cenzura w unijnym rozporządzeniu DSA</w:t>
      </w:r>
    </w:p>
    <w:p w14:paraId="16229579" w14:textId="64B2A627" w:rsidR="000E19D6" w:rsidRPr="000E19D6" w:rsidRDefault="000E19D6" w:rsidP="000E19D6">
      <w:pPr>
        <w:pStyle w:val="Body1"/>
        <w:rPr>
          <w:lang w:val="pl-PL"/>
        </w:rPr>
      </w:pPr>
      <w:r w:rsidRPr="000E19D6">
        <w:rPr>
          <w:lang w:val="pl-PL"/>
        </w:rPr>
        <w:t>Regulacja platform internetowych wzbudza emocje przede wszystkich na… największych platformach. T</w:t>
      </w:r>
      <w:r w:rsidR="00AA769F">
        <w:rPr>
          <w:lang w:val="pl-PL"/>
        </w:rPr>
        <w:t>ymczasem t</w:t>
      </w:r>
      <w:r w:rsidRPr="000E19D6">
        <w:rPr>
          <w:lang w:val="pl-PL"/>
        </w:rPr>
        <w:t xml:space="preserve">o ich działalność </w:t>
      </w:r>
      <w:r w:rsidR="00AA769F">
        <w:rPr>
          <w:lang w:val="pl-PL"/>
        </w:rPr>
        <w:t>wiąże się z największymi wyzwaniami</w:t>
      </w:r>
      <w:r w:rsidRPr="000E19D6">
        <w:rPr>
          <w:lang w:val="pl-PL"/>
        </w:rPr>
        <w:t xml:space="preserve">. </w:t>
      </w:r>
      <w:r w:rsidR="00AA769F">
        <w:rPr>
          <w:lang w:val="pl-PL"/>
        </w:rPr>
        <w:t>Chodzi o </w:t>
      </w:r>
      <w:r w:rsidRPr="000E19D6">
        <w:rPr>
          <w:lang w:val="pl-PL"/>
        </w:rPr>
        <w:t xml:space="preserve">usługi </w:t>
      </w:r>
      <w:r w:rsidR="00AA769F">
        <w:rPr>
          <w:lang w:val="pl-PL"/>
        </w:rPr>
        <w:t xml:space="preserve">takie </w:t>
      </w:r>
      <w:r w:rsidRPr="000E19D6">
        <w:rPr>
          <w:lang w:val="pl-PL"/>
        </w:rPr>
        <w:t xml:space="preserve">jak najpopularniejsze media społecznościowe, platformy </w:t>
      </w:r>
      <w:r w:rsidR="00163672" w:rsidRPr="000E19D6">
        <w:rPr>
          <w:lang w:val="pl-PL"/>
        </w:rPr>
        <w:t>pornograficzne czy</w:t>
      </w:r>
      <w:r w:rsidR="00163672">
        <w:rPr>
          <w:lang w:val="pl-PL"/>
        </w:rPr>
        <w:t xml:space="preserve"> </w:t>
      </w:r>
      <w:r w:rsidRPr="000E19D6">
        <w:rPr>
          <w:lang w:val="pl-PL"/>
        </w:rPr>
        <w:t>e</w:t>
      </w:r>
      <w:r w:rsidR="00163672">
        <w:rPr>
          <w:lang w:val="pl-PL"/>
        </w:rPr>
        <w:t>-</w:t>
      </w:r>
      <w:r w:rsidRPr="000E19D6">
        <w:rPr>
          <w:lang w:val="pl-PL"/>
        </w:rPr>
        <w:t>commerce (Shein, Temu).</w:t>
      </w:r>
    </w:p>
    <w:p w14:paraId="47CCF994" w14:textId="29C1F5A6" w:rsidR="000E19D6" w:rsidRPr="00163672" w:rsidRDefault="00492339" w:rsidP="000E19D6">
      <w:pPr>
        <w:pStyle w:val="Body1"/>
        <w:rPr>
          <w:lang w:val="pl-PL"/>
        </w:rPr>
      </w:pPr>
      <w:hyperlink r:id="rId8" w:history="1">
        <w:r w:rsidRPr="00492339">
          <w:rPr>
            <w:rStyle w:val="Hipercze"/>
            <w:lang w:val="pl-PL"/>
          </w:rPr>
          <w:t>Lista wielkich wyszukiwarek i platform</w:t>
        </w:r>
      </w:hyperlink>
      <w:r w:rsidR="00E24563" w:rsidRPr="00163672">
        <w:rPr>
          <w:lang w:val="pl-PL"/>
        </w:rPr>
        <w:t xml:space="preserve"> dostępna jest na stronie Komisji Europejskiej.</w:t>
      </w:r>
    </w:p>
    <w:p w14:paraId="1D8F8C91" w14:textId="77777777" w:rsidR="000E19D6" w:rsidRPr="000E19D6" w:rsidRDefault="000E19D6" w:rsidP="000E19D6">
      <w:pPr>
        <w:pStyle w:val="Body1"/>
        <w:rPr>
          <w:lang w:val="pl-PL"/>
        </w:rPr>
      </w:pPr>
      <w:r w:rsidRPr="000E19D6">
        <w:rPr>
          <w:lang w:val="pl-PL"/>
        </w:rPr>
        <w:t>To tych podmiotów dotyczą najdalej idące obowiązki wynikające z DSA. I to one najwięcej zysk</w:t>
      </w:r>
      <w:r w:rsidR="00AA769F">
        <w:rPr>
          <w:lang w:val="pl-PL"/>
        </w:rPr>
        <w:t>u</w:t>
      </w:r>
      <w:r w:rsidRPr="000E19D6">
        <w:rPr>
          <w:lang w:val="pl-PL"/>
        </w:rPr>
        <w:t>ją na niewdrażaniu prawa. Ruszyły więc z kampanią podsycającą nieufność wobec regulacji.</w:t>
      </w:r>
    </w:p>
    <w:p w14:paraId="27105C70" w14:textId="77777777" w:rsidR="00A04EE0" w:rsidRDefault="00E24563" w:rsidP="000E19D6">
      <w:pPr>
        <w:pStyle w:val="Body1"/>
        <w:rPr>
          <w:lang w:val="pl-PL"/>
        </w:rPr>
      </w:pPr>
      <w:r>
        <w:rPr>
          <w:lang w:val="pl-PL"/>
        </w:rPr>
        <w:t>N</w:t>
      </w:r>
      <w:r w:rsidR="000E19D6" w:rsidRPr="000E19D6">
        <w:rPr>
          <w:lang w:val="pl-PL"/>
        </w:rPr>
        <w:t>p. firm</w:t>
      </w:r>
      <w:r>
        <w:rPr>
          <w:lang w:val="pl-PL"/>
        </w:rPr>
        <w:t>a</w:t>
      </w:r>
      <w:r w:rsidR="000E19D6" w:rsidRPr="000E19D6">
        <w:rPr>
          <w:lang w:val="pl-PL"/>
        </w:rPr>
        <w:t xml:space="preserve"> Alphabet, spółk</w:t>
      </w:r>
      <w:r>
        <w:rPr>
          <w:lang w:val="pl-PL"/>
        </w:rPr>
        <w:t>a</w:t>
      </w:r>
      <w:r w:rsidR="000E19D6" w:rsidRPr="000E19D6">
        <w:rPr>
          <w:lang w:val="pl-PL"/>
        </w:rPr>
        <w:t xml:space="preserve"> macierzyst</w:t>
      </w:r>
      <w:r>
        <w:rPr>
          <w:lang w:val="pl-PL"/>
        </w:rPr>
        <w:t>a</w:t>
      </w:r>
      <w:r w:rsidR="000E19D6" w:rsidRPr="000E19D6">
        <w:rPr>
          <w:lang w:val="pl-PL"/>
        </w:rPr>
        <w:t xml:space="preserve"> Google</w:t>
      </w:r>
      <w:r w:rsidR="00AA769F">
        <w:rPr>
          <w:lang w:val="pl-PL"/>
        </w:rPr>
        <w:t xml:space="preserve"> utrzym</w:t>
      </w:r>
      <w:r>
        <w:rPr>
          <w:lang w:val="pl-PL"/>
        </w:rPr>
        <w:t>ywała niedawno</w:t>
      </w:r>
      <w:r w:rsidR="000E19D6" w:rsidRPr="000E19D6">
        <w:rPr>
          <w:lang w:val="pl-PL"/>
        </w:rPr>
        <w:t>, że DSA zagraża wolności słowa na całym świecie</w:t>
      </w:r>
      <w:r w:rsidR="00AA769F">
        <w:rPr>
          <w:lang w:val="pl-PL"/>
        </w:rPr>
        <w:t xml:space="preserve">, </w:t>
      </w:r>
      <w:r>
        <w:rPr>
          <w:lang w:val="pl-PL"/>
        </w:rPr>
        <w:t xml:space="preserve">przywołując </w:t>
      </w:r>
      <w:r w:rsidR="000E19D6" w:rsidRPr="000E19D6">
        <w:rPr>
          <w:lang w:val="pl-PL"/>
        </w:rPr>
        <w:t>ujawnion</w:t>
      </w:r>
      <w:r>
        <w:rPr>
          <w:lang w:val="pl-PL"/>
        </w:rPr>
        <w:t>e wcześniej</w:t>
      </w:r>
      <w:r w:rsidR="000E19D6" w:rsidRPr="000E19D6">
        <w:rPr>
          <w:lang w:val="pl-PL"/>
        </w:rPr>
        <w:t xml:space="preserve"> nacisk</w:t>
      </w:r>
      <w:r>
        <w:rPr>
          <w:lang w:val="pl-PL"/>
        </w:rPr>
        <w:t>i</w:t>
      </w:r>
      <w:r w:rsidR="000E19D6" w:rsidRPr="000E19D6">
        <w:rPr>
          <w:lang w:val="pl-PL"/>
        </w:rPr>
        <w:t xml:space="preserve"> administracji byłego prezydenta USA Joe Bidena na YouTube. Dlaczego działania</w:t>
      </w:r>
      <w:r w:rsidR="00AA769F">
        <w:rPr>
          <w:lang w:val="pl-PL"/>
        </w:rPr>
        <w:t xml:space="preserve"> amerykańskiego</w:t>
      </w:r>
      <w:r w:rsidR="000E19D6" w:rsidRPr="000E19D6">
        <w:rPr>
          <w:lang w:val="pl-PL"/>
        </w:rPr>
        <w:t xml:space="preserve"> prezydenta miałyby być </w:t>
      </w:r>
      <w:r>
        <w:rPr>
          <w:lang w:val="pl-PL"/>
        </w:rPr>
        <w:t xml:space="preserve">dowodem na </w:t>
      </w:r>
      <w:r w:rsidR="000E19D6" w:rsidRPr="000E19D6">
        <w:rPr>
          <w:lang w:val="pl-PL"/>
        </w:rPr>
        <w:t xml:space="preserve">złe </w:t>
      </w:r>
      <w:r>
        <w:rPr>
          <w:lang w:val="pl-PL"/>
        </w:rPr>
        <w:t xml:space="preserve">prawo </w:t>
      </w:r>
      <w:r w:rsidR="000E19D6" w:rsidRPr="000E19D6">
        <w:rPr>
          <w:lang w:val="pl-PL"/>
        </w:rPr>
        <w:t>w</w:t>
      </w:r>
      <w:r w:rsidR="00AA769F">
        <w:rPr>
          <w:lang w:val="pl-PL"/>
        </w:rPr>
        <w:t> </w:t>
      </w:r>
      <w:r w:rsidR="000E19D6" w:rsidRPr="000E19D6">
        <w:rPr>
          <w:lang w:val="pl-PL"/>
        </w:rPr>
        <w:t>Europie?</w:t>
      </w:r>
    </w:p>
    <w:p w14:paraId="39B6EC49" w14:textId="77777777" w:rsidR="000E19D6" w:rsidRDefault="000E19D6" w:rsidP="000A3C8C">
      <w:pPr>
        <w:pStyle w:val="Body1"/>
        <w:rPr>
          <w:lang w:val="pl-PL"/>
        </w:rPr>
      </w:pPr>
      <w:r>
        <w:rPr>
          <w:noProof/>
          <w:lang w:val="pl-PL"/>
        </w:rPr>
        <mc:AlternateContent>
          <mc:Choice Requires="wps">
            <w:drawing>
              <wp:anchor distT="0" distB="0" distL="114300" distR="114300" simplePos="0" relativeHeight="251659264" behindDoc="0" locked="0" layoutInCell="1" allowOverlap="1" wp14:anchorId="22B41BBE" wp14:editId="72991CD7">
                <wp:simplePos x="0" y="0"/>
                <wp:positionH relativeFrom="margin">
                  <wp:align>center</wp:align>
                </wp:positionH>
                <wp:positionV relativeFrom="paragraph">
                  <wp:posOffset>98174</wp:posOffset>
                </wp:positionV>
                <wp:extent cx="5760000" cy="0"/>
                <wp:effectExtent l="0" t="0" r="0" b="0"/>
                <wp:wrapNone/>
                <wp:docPr id="3" name="Łącznik prosty 3"/>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F06680" id="Łącznik prosty 3"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7.75pt" to="453.5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dvQEAALUDAAAOAAAAZHJzL2Uyb0RvYy54bWysU81u1DAQviPxDpbvbLKtaFG02R5awaWC&#10;VX8ewHXGG6v+k8fdJNw48GbwXoy9u2kFCCFEDpOM/X0z881MVhejNWwHEbV3LV8uas7ASd9pt235&#10;/d37N+84wyRcJ4x30PIJkF+sX79aDaGBE99700FkFMRhM4SW9ymFpqpQ9mAFLnwAR5fKRysSuXFb&#10;dVEMFN2a6qSuz6rBxy5ELwGRTq/2l3xd4isFMn1SCiEx03KqLRUbi33ItlqvRLONIvRaHsoQ/1CF&#10;FdpR0jnUlUiCPUX9SyirZfToVVpIbyuvlJZQNJCaZf2TmtteBChaqDkY5jbh/wsrP+42kemu5aec&#10;OWFpRN+/fPsqPzv9yKivmCZ2mrs0BGwIfOk28eBh2MQseVTR5jeJYWPp7DR3FsbEJB2+PT+r6eFM&#10;Hu+qZ2KImD6At5QPaUBGuyxaNGJ3jYmSEfQIIScXsk9dvtJkIIONuwFFQijZsrDLCsGliWwnaPjd&#10;4zLLoFgFmSlKGzOT6j+TDthMg7JWf0uc0SWjd2kmWu18/F3WNB5LVXv8UfVea5b94LupDKK0g3aj&#10;KDvscV6+l36hP/9t6x8AAAD//wMAUEsDBBQABgAIAAAAIQBcc/Mx2wAAAAYBAAAPAAAAZHJzL2Rv&#10;d25yZXYueG1sTI/BTsMwEETvSPyDtUjcqNNKLTSNU1WVEOKCaAp3N946gXgd2U4a/p5FHOA4M6uZ&#10;t8V2cp0YMcTWk4L5LAOBVHvTklXwdny8ewARkyajO0+o4AsjbMvrq0Lnxl/ogGOVrOASirlW0KTU&#10;51LGukGn48z3SJydfXA6sQxWmqAvXO46uciylXS6JV5odI/7BuvPanAKuucwvtu93cXh6bCqPl7P&#10;i5fjqNTtzbTbgEg4pb9j+MFndCiZ6eQHMlF0CviRxO5yCYLTdXY/B3H6NWRZyP/45TcAAAD//wMA&#10;UEsBAi0AFAAGAAgAAAAhALaDOJL+AAAA4QEAABMAAAAAAAAAAAAAAAAAAAAAAFtDb250ZW50X1R5&#10;cGVzXS54bWxQSwECLQAUAAYACAAAACEAOP0h/9YAAACUAQAACwAAAAAAAAAAAAAAAAAvAQAAX3Jl&#10;bHMvLnJlbHNQSwECLQAUAAYACAAAACEAP6U/nb0BAAC1AwAADgAAAAAAAAAAAAAAAAAuAgAAZHJz&#10;L2Uyb0RvYy54bWxQSwECLQAUAAYACAAAACEAXHPzMdsAAAAGAQAADwAAAAAAAAAAAAAAAAAXBAAA&#10;ZHJzL2Rvd25yZXYueG1sUEsFBgAAAAAEAAQA8wAAAB8FAAAAAA==&#10;" strokecolor="black [3200]" strokeweight=".5pt">
                <v:stroke joinstyle="miter"/>
                <w10:wrap anchorx="margin"/>
              </v:line>
            </w:pict>
          </mc:Fallback>
        </mc:AlternateContent>
      </w:r>
    </w:p>
    <w:p w14:paraId="39937DD1" w14:textId="77777777" w:rsidR="000A3C8C" w:rsidRPr="000A3C8C" w:rsidRDefault="00A04EE0" w:rsidP="00A04EE0">
      <w:pPr>
        <w:pStyle w:val="Nagwek1"/>
      </w:pPr>
      <w:r w:rsidRPr="000A3C8C">
        <w:t>O Fundacji Panoptykon</w:t>
      </w:r>
    </w:p>
    <w:p w14:paraId="6A4E97D6" w14:textId="77777777" w:rsidR="000A3C8C" w:rsidRPr="000A3C8C" w:rsidRDefault="000A3C8C" w:rsidP="000A3C8C">
      <w:pPr>
        <w:pStyle w:val="Body1"/>
        <w:rPr>
          <w:lang w:val="pl-PL"/>
        </w:rPr>
      </w:pPr>
      <w:r w:rsidRPr="000A3C8C">
        <w:rPr>
          <w:lang w:val="pl-PL"/>
        </w:rPr>
        <w:t xml:space="preserve">Fundacja Panoptykon od ponad 16 lat zajmuje się obroną wolności i prywatności w świecie nowych technologii. Przez lata zwracaliśmy uwagę na cenzorskie zapędy polityków, którzy chcieli blokować strony i aplikacje </w:t>
      </w:r>
      <w:r w:rsidR="00A04EE0">
        <w:rPr>
          <w:lang w:val="pl-PL"/>
        </w:rPr>
        <w:t>i</w:t>
      </w:r>
      <w:r w:rsidRPr="000A3C8C">
        <w:rPr>
          <w:lang w:val="pl-PL"/>
        </w:rPr>
        <w:t>nternetowe.</w:t>
      </w:r>
    </w:p>
    <w:p w14:paraId="6423CF92" w14:textId="77777777" w:rsidR="000A3C8C" w:rsidRPr="000A3C8C" w:rsidRDefault="000A3C8C" w:rsidP="000A3C8C">
      <w:pPr>
        <w:pStyle w:val="Body1"/>
        <w:rPr>
          <w:lang w:val="pl-PL"/>
        </w:rPr>
      </w:pPr>
      <w:r w:rsidRPr="000A3C8C">
        <w:rPr>
          <w:lang w:val="pl-PL"/>
        </w:rPr>
        <w:t xml:space="preserve">Panoptykon czynnie uczestniczył </w:t>
      </w:r>
      <w:r w:rsidR="00A04EE0">
        <w:rPr>
          <w:lang w:val="pl-PL"/>
        </w:rPr>
        <w:t>n</w:t>
      </w:r>
      <w:r w:rsidR="00A04EE0" w:rsidRPr="000A3C8C">
        <w:rPr>
          <w:lang w:val="pl-PL"/>
        </w:rPr>
        <w:t xml:space="preserve">a etapie unijnym </w:t>
      </w:r>
      <w:r w:rsidRPr="000A3C8C">
        <w:rPr>
          <w:lang w:val="pl-PL"/>
        </w:rPr>
        <w:t xml:space="preserve">w pracach nad </w:t>
      </w:r>
      <w:r w:rsidR="00A04EE0">
        <w:rPr>
          <w:lang w:val="pl-PL"/>
        </w:rPr>
        <w:t>aktem o usługach cyfrowych</w:t>
      </w:r>
      <w:r w:rsidRPr="000A3C8C">
        <w:rPr>
          <w:lang w:val="pl-PL"/>
        </w:rPr>
        <w:t>, dostarczając niezależne analizy dowodzące szkodliwego działani</w:t>
      </w:r>
      <w:r w:rsidR="00A04EE0">
        <w:rPr>
          <w:lang w:val="pl-PL"/>
        </w:rPr>
        <w:t>a</w:t>
      </w:r>
      <w:r w:rsidRPr="000A3C8C">
        <w:rPr>
          <w:lang w:val="pl-PL"/>
        </w:rPr>
        <w:t xml:space="preserve"> największych platform internetowych, prowadząc własne badania oraz dzieląc się kulisami prowadzenia sprawy sądowej przeciwko blokadzie organizacji społecznej przez Facebooka.</w:t>
      </w:r>
    </w:p>
    <w:p w14:paraId="4CDF0448" w14:textId="77777777" w:rsidR="00E935B8" w:rsidRPr="000A3C8C" w:rsidRDefault="000A3C8C" w:rsidP="000A3C8C">
      <w:pPr>
        <w:pStyle w:val="Body1"/>
        <w:rPr>
          <w:lang w:val="pl-PL"/>
        </w:rPr>
      </w:pPr>
      <w:r w:rsidRPr="000A3C8C">
        <w:rPr>
          <w:lang w:val="pl-PL"/>
        </w:rPr>
        <w:t>Jako pierwsi zwróciliśmy uwagę na ryzyka nadmiarowego blokowania treści w</w:t>
      </w:r>
      <w:r w:rsidR="00A04EE0">
        <w:rPr>
          <w:lang w:val="pl-PL"/>
        </w:rPr>
        <w:t>e wcześniejszym</w:t>
      </w:r>
      <w:r w:rsidRPr="000A3C8C">
        <w:rPr>
          <w:lang w:val="pl-PL"/>
        </w:rPr>
        <w:t xml:space="preserve"> projekcie wdrożenia DSA przygotowanym przez Ministerstwo Cyfryzacji w styczniu </w:t>
      </w:r>
      <w:r w:rsidR="00A04EE0">
        <w:rPr>
          <w:lang w:val="pl-PL"/>
        </w:rPr>
        <w:t>2025 r</w:t>
      </w:r>
      <w:r w:rsidRPr="000A3C8C">
        <w:rPr>
          <w:lang w:val="pl-PL"/>
        </w:rPr>
        <w:t>. Braliśmy udział we wszystkich rundach konsultacji ustawy, która w końcu trafi</w:t>
      </w:r>
      <w:r w:rsidR="00A04EE0">
        <w:rPr>
          <w:lang w:val="pl-PL"/>
        </w:rPr>
        <w:t>ł</w:t>
      </w:r>
      <w:r w:rsidRPr="000A3C8C">
        <w:rPr>
          <w:lang w:val="pl-PL"/>
        </w:rPr>
        <w:t xml:space="preserve">a na </w:t>
      </w:r>
      <w:r w:rsidR="00A04EE0">
        <w:rPr>
          <w:lang w:val="pl-PL"/>
        </w:rPr>
        <w:t>biurko Prezydenta.</w:t>
      </w:r>
    </w:p>
    <w:sectPr w:rsidR="00E935B8" w:rsidRPr="000A3C8C" w:rsidSect="005B6045">
      <w:headerReference w:type="even" r:id="rId9"/>
      <w:headerReference w:type="default" r:id="rId10"/>
      <w:footerReference w:type="default" r:id="rId11"/>
      <w:headerReference w:type="first" r:id="rId12"/>
      <w:footerReference w:type="first" r:id="rId13"/>
      <w:pgSz w:w="11906" w:h="16838"/>
      <w:pgMar w:top="1417" w:right="1417" w:bottom="1417" w:left="1417" w:header="708" w:footer="3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F2499" w14:textId="77777777" w:rsidR="00892637" w:rsidRDefault="00892637" w:rsidP="002913CF">
      <w:pPr>
        <w:spacing w:after="0" w:line="240" w:lineRule="auto"/>
      </w:pPr>
      <w:r>
        <w:separator/>
      </w:r>
    </w:p>
  </w:endnote>
  <w:endnote w:type="continuationSeparator" w:id="0">
    <w:p w14:paraId="5ACE2D64" w14:textId="77777777" w:rsidR="00892637" w:rsidRDefault="00892637" w:rsidP="00291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aramondPro-Bol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63C1B" w14:textId="77777777" w:rsidR="005B6045" w:rsidRPr="00A57587" w:rsidRDefault="003E7DE9" w:rsidP="005B6045">
    <w:pPr>
      <w:pStyle w:val="Stopka1"/>
      <w:tabs>
        <w:tab w:val="clear" w:pos="4536"/>
        <w:tab w:val="clear" w:pos="9072"/>
      </w:tabs>
      <w:ind w:right="-1276"/>
    </w:pPr>
    <w:r>
      <w:rPr>
        <w:noProof/>
      </w:rPr>
      <mc:AlternateContent>
        <mc:Choice Requires="wps">
          <w:drawing>
            <wp:anchor distT="0" distB="0" distL="114300" distR="114300" simplePos="0" relativeHeight="251672576" behindDoc="0" locked="0" layoutInCell="1" allowOverlap="1" wp14:anchorId="5629685F" wp14:editId="0D95DAC2">
              <wp:simplePos x="0" y="0"/>
              <wp:positionH relativeFrom="margin">
                <wp:posOffset>0</wp:posOffset>
              </wp:positionH>
              <wp:positionV relativeFrom="paragraph">
                <wp:posOffset>-210185</wp:posOffset>
              </wp:positionV>
              <wp:extent cx="5760000" cy="9525"/>
              <wp:effectExtent l="0" t="0" r="31750" b="28575"/>
              <wp:wrapNone/>
              <wp:docPr id="1" name="Łącznik prosty 1"/>
              <wp:cNvGraphicFramePr/>
              <a:graphic xmlns:a="http://schemas.openxmlformats.org/drawingml/2006/main">
                <a:graphicData uri="http://schemas.microsoft.com/office/word/2010/wordprocessingShape">
                  <wps:wsp>
                    <wps:cNvCnPr/>
                    <wps:spPr>
                      <a:xfrm flipV="1">
                        <a:off x="0" y="0"/>
                        <a:ext cx="5760000" cy="9525"/>
                      </a:xfrm>
                      <a:prstGeom prst="line">
                        <a:avLst/>
                      </a:prstGeom>
                      <a:ln w="3175">
                        <a:solidFill>
                          <a:srgbClr val="DADADA">
                            <a:alpha val="83922"/>
                          </a:srgb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3CD049" id="Łącznik prosty 1" o:spid="_x0000_s1026" style="position:absolute;flip:y;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6.55pt" to="453.5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VsF+QEAAC0EAAAOAAAAZHJzL2Uyb0RvYy54bWysU02P0zAQvSPxHyzfadKuuh9R0xXaarkg&#10;qPi6u47dWOsveUzTcuPAP4P/xdhOwwr2gBCJZMXjmTfvPU9Wt0ejyUEEUM62dD6rKRGWu07ZfUs/&#10;frh/cU0JRGY7pp0VLT0JoLfr589Wg2/EwvVOdyIQBLHQDL6lfYy+qSrgvTAMZs4Li4fSBcMibsO+&#10;6gIbEN3oalHXl9XgQueD4wIAo5tySNcZX0rB41spQUSiW4rcYl5DXndprdYr1uwD873iIw32DywM&#10;UxabTlAbFhn5HNQfUEbx4MDJOOPOVE5KxUXWgGrm9W9q3vfMi6wFzQE/2QT/D5a/OWwDUR3eHSWW&#10;GbyiH1+/f+NfrHog6CvEE5knlwYPDSbf2W0Yd+C3IUk+ymCI1Mp/SiApgrLIMXt8mjwWx0g4BpdX&#10;lzU+lHA8u1kulgm8Kiip1geIr4Qz2BzwtrSyyQHWsMNriCX1nJLC2pKhpRfzq2XOAqdVd6+0TmcQ&#10;9rs7HciB4eVvXqa3QGnfsxK9vrhZLEYGY3pm8wgHuWmLwWRAkZy/4kmLQuCdkGggSivi8+iKqW/3&#10;kO3LKJiZSiTym4rqwjvN+1NFY24qE3mc/7Zwys4dnY1ToVHWhae6xuOZqiz5Z9VFa5K9c90pD0C2&#10;A2cyuzX+P2noH+9z+a+/fP0TAAD//wMAUEsDBBQABgAIAAAAIQBdubJF4AAAAAgBAAAPAAAAZHJz&#10;L2Rvd25yZXYueG1sTI8xT8MwEIV3JP6DdUgsqHXSikJDnAohWBAMBAayufGRRNjnKHaT0F/PdYLt&#10;7t7Tu+/lu9lZMeIQOk8K0mUCAqn2pqNGwcf70+IWRIiajLaeUMEPBtgV52e5zoyf6A3HMjaCQyhk&#10;WkEbY59JGeoWnQ5L3yOx9uUHpyOvQyPNoCcOd1aukmQjne6IP7S6x4cW6+/y4BRUz9Xx6nN6iePK&#10;V6+P9ni9nctKqcuL+f4ORMQ5/pnhhM/oUDDT3h/IBGEVcJGoYLFepyBY3iY3POxPl3QDssjl/wLF&#10;LwAAAP//AwBQSwECLQAUAAYACAAAACEAtoM4kv4AAADhAQAAEwAAAAAAAAAAAAAAAAAAAAAAW0Nv&#10;bnRlbnRfVHlwZXNdLnhtbFBLAQItABQABgAIAAAAIQA4/SH/1gAAAJQBAAALAAAAAAAAAAAAAAAA&#10;AC8BAABfcmVscy8ucmVsc1BLAQItABQABgAIAAAAIQB69VsF+QEAAC0EAAAOAAAAAAAAAAAAAAAA&#10;AC4CAABkcnMvZTJvRG9jLnhtbFBLAQItABQABgAIAAAAIQBdubJF4AAAAAgBAAAPAAAAAAAAAAAA&#10;AAAAAFMEAABkcnMvZG93bnJldi54bWxQSwUGAAAAAAQABADzAAAAYAUAAAAA&#10;" strokecolor="#dadada" strokeweight=".25pt">
              <v:stroke opacity="54998f" joinstyle="miter"/>
              <w10:wrap anchorx="margin"/>
            </v:line>
          </w:pict>
        </mc:Fallback>
      </mc:AlternateContent>
    </w:r>
    <w:r w:rsidR="005B6045" w:rsidRPr="00A57587">
      <w:t>Fundacja Panoptykon | Orzechowska 4 lok. 4 02-068 Warszawa</w:t>
    </w:r>
    <w:r w:rsidR="005B6045">
      <w:tab/>
    </w:r>
    <w:r w:rsidR="005B6045">
      <w:tab/>
    </w:r>
    <w:r w:rsidR="005B6045">
      <w:fldChar w:fldCharType="begin"/>
    </w:r>
    <w:r w:rsidR="005B6045">
      <w:instrText>PAGE   \* MERGEFORMAT</w:instrText>
    </w:r>
    <w:r w:rsidR="005B6045">
      <w:fldChar w:fldCharType="separate"/>
    </w:r>
    <w:r w:rsidR="005B6045">
      <w:t>1</w:t>
    </w:r>
    <w:r w:rsidR="005B6045">
      <w:fldChar w:fldCharType="end"/>
    </w:r>
  </w:p>
  <w:p w14:paraId="3BBCC43B" w14:textId="77777777" w:rsidR="005B6045" w:rsidRDefault="005B6045" w:rsidP="005B6045">
    <w:pPr>
      <w:pStyle w:val="Stopka1"/>
    </w:pPr>
    <w:r w:rsidRPr="00A57587">
      <w:t>fundacja@panoptykon.org | +48 660 074 026 | panoptykon.org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BC4BB" w14:textId="77777777" w:rsidR="005B6045" w:rsidRPr="00A57587" w:rsidRDefault="005B6045" w:rsidP="005B6045">
    <w:pPr>
      <w:pStyle w:val="Stopka1"/>
      <w:tabs>
        <w:tab w:val="clear" w:pos="4536"/>
        <w:tab w:val="clear" w:pos="9072"/>
      </w:tabs>
      <w:ind w:right="-1276"/>
    </w:pPr>
    <w:r>
      <w:rPr>
        <w:noProof/>
      </w:rPr>
      <mc:AlternateContent>
        <mc:Choice Requires="wps">
          <w:drawing>
            <wp:anchor distT="0" distB="0" distL="114300" distR="114300" simplePos="0" relativeHeight="251663360" behindDoc="0" locked="0" layoutInCell="1" allowOverlap="1" wp14:anchorId="2E3CAA77" wp14:editId="68645AD0">
              <wp:simplePos x="0" y="0"/>
              <wp:positionH relativeFrom="margin">
                <wp:align>center</wp:align>
              </wp:positionH>
              <wp:positionV relativeFrom="paragraph">
                <wp:posOffset>-203200</wp:posOffset>
              </wp:positionV>
              <wp:extent cx="5760000" cy="9525"/>
              <wp:effectExtent l="0" t="0" r="31750" b="28575"/>
              <wp:wrapNone/>
              <wp:docPr id="2" name="Łącznik prosty 2"/>
              <wp:cNvGraphicFramePr/>
              <a:graphic xmlns:a="http://schemas.openxmlformats.org/drawingml/2006/main">
                <a:graphicData uri="http://schemas.microsoft.com/office/word/2010/wordprocessingShape">
                  <wps:wsp>
                    <wps:cNvCnPr/>
                    <wps:spPr>
                      <a:xfrm flipV="1">
                        <a:off x="0" y="0"/>
                        <a:ext cx="5760000" cy="9525"/>
                      </a:xfrm>
                      <a:prstGeom prst="line">
                        <a:avLst/>
                      </a:prstGeom>
                      <a:ln w="3175">
                        <a:solidFill>
                          <a:srgbClr val="DADADA">
                            <a:alpha val="83922"/>
                          </a:srgb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922CCFD" id="Łącznik prosty 2" o:spid="_x0000_s1026" style="position:absolute;flip:y;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6pt" to="453.5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v/6/AEAAC0EAAAOAAAAZHJzL2Uyb0RvYy54bWysU01v1DAQvSPxHyzf2WRTbT+izVaoq3JB&#10;sIKWu9exN1b9JdtsEm4c+Gfwvxjb2VBBD1VFIlnx+M2bec+T9fWgJDoy54XRDV4uSoyYpqYV+tDg&#10;+7vbN5cY+UB0S6TRrMEj8/h68/rVurc1q0xnZMscAhLt6942uAvB1kXhaccU8QtjmYZDbpwiAbbu&#10;ULSO9MCuZFGV5XnRG9daZyjzHqLbfIg3iZ9zRsNHzj0LSDYYegtpdWndx7XYrEl9cMR2gk5tkBd0&#10;oYjQUHSm2pJA0Fcn/qFSgjrjDQ8LalRhOBeUJQ2gZln+peZzRyxLWsAcb2eb/P+jpR+OO4dE2+AK&#10;I00UXNGv7z9/0G9aPCDw1YcRVdGl3voawDd656adtzsXJQ/cKcSlsF9gAJIJIAsNyeNx9pgNAVEI&#10;ri7OS3gwonB2tapWkbzILJHNOh/eMaOguIfbkkJHB0hNju99yNATJIalRn2Dz5YXq4TyRor2VkgZ&#10;z7w77G+kQ0cCl799G99MJW1HcvTy7KpK8qCDCZ66ecQDJ1JDMBqQJaevMEqWG/jEOBgI0rL4NLps&#10;rts+LCeFUgMypnDob04qc99x3p9KmrAxjaVxfm7ijE4VjQ5zohLauKeqhuHUKs/4k+qsNcrem3ZM&#10;A5DsgJlMbk3/Txz6x/uU/ucv3/wGAAD//wMAUEsDBBQABgAIAAAAIQBP7vuO3wAAAAgBAAAPAAAA&#10;ZHJzL2Rvd25yZXYueG1sTI8xT8MwEIV3JP6DdUgsqLUbVKAhToUQLIgOBAayufGRRMTnKHaT0F/P&#10;dYLt7t7Tu+9l29l1YsQhtJ40rJYKBFLlbUu1ho/358UdiBANWdN5Qg0/GGCbn59lJrV+ojcci1gL&#10;DqGQGg1NjH0qZagadCYsfY/E2pcfnIm8DrW0g5k43HUyUepGOtMSf2hMj48NVt/FwWkoX8rj1ef0&#10;GsfEl7un7rjezEWp9eXF/HAPIuIc/8xwwmd0yJlp7w9kg+g0cJGoYXGd8MDyRt2uQOxPF7UGmWfy&#10;f4H8FwAA//8DAFBLAQItABQABgAIAAAAIQC2gziS/gAAAOEBAAATAAAAAAAAAAAAAAAAAAAAAABb&#10;Q29udGVudF9UeXBlc10ueG1sUEsBAi0AFAAGAAgAAAAhADj9If/WAAAAlAEAAAsAAAAAAAAAAAAA&#10;AAAALwEAAF9yZWxzLy5yZWxzUEsBAi0AFAAGAAgAAAAhAKu+//r8AQAALQQAAA4AAAAAAAAAAAAA&#10;AAAALgIAAGRycy9lMm9Eb2MueG1sUEsBAi0AFAAGAAgAAAAhAE/u+47fAAAACAEAAA8AAAAAAAAA&#10;AAAAAAAAVgQAAGRycy9kb3ducmV2LnhtbFBLBQYAAAAABAAEAPMAAABiBQAAAAA=&#10;" strokecolor="#dadada" strokeweight=".25pt">
              <v:stroke opacity="54998f" joinstyle="miter"/>
              <w10:wrap anchorx="margin"/>
            </v:line>
          </w:pict>
        </mc:Fallback>
      </mc:AlternateContent>
    </w:r>
    <w:r w:rsidRPr="00A57587">
      <w:t>Fundacja Panoptykon</w:t>
    </w:r>
    <w:r>
      <w:t xml:space="preserve"> </w:t>
    </w:r>
    <w:r w:rsidRPr="00A57587">
      <w:t>|</w:t>
    </w:r>
    <w:r>
      <w:t xml:space="preserve"> </w:t>
    </w:r>
    <w:r w:rsidRPr="00A57587">
      <w:t>Orzechowska 4 lok. 4 02-068 Warszawa</w:t>
    </w:r>
    <w:r>
      <w:tab/>
    </w:r>
    <w:r>
      <w:tab/>
    </w:r>
    <w:r>
      <w:fldChar w:fldCharType="begin"/>
    </w:r>
    <w:r>
      <w:instrText>PAGE   \* MERGEFORMAT</w:instrText>
    </w:r>
    <w:r>
      <w:fldChar w:fldCharType="separate"/>
    </w:r>
    <w:r>
      <w:t>1</w:t>
    </w:r>
    <w:r>
      <w:fldChar w:fldCharType="end"/>
    </w:r>
  </w:p>
  <w:p w14:paraId="4567247B" w14:textId="77777777" w:rsidR="00A57587" w:rsidRPr="00A57587" w:rsidRDefault="005B6045" w:rsidP="005B6045">
    <w:pPr>
      <w:pStyle w:val="Stopka1"/>
    </w:pPr>
    <w:r w:rsidRPr="00A57587">
      <w:t>fundacja@panoptykon.org | +48 660 074 026 | panoptykon.org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CEFB4" w14:textId="77777777" w:rsidR="00892637" w:rsidRDefault="00892637" w:rsidP="002913CF">
      <w:pPr>
        <w:spacing w:after="0" w:line="240" w:lineRule="auto"/>
      </w:pPr>
      <w:r>
        <w:separator/>
      </w:r>
    </w:p>
  </w:footnote>
  <w:footnote w:type="continuationSeparator" w:id="0">
    <w:p w14:paraId="3A36EBBA" w14:textId="77777777" w:rsidR="00892637" w:rsidRDefault="00892637" w:rsidP="00291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FEF7" w14:textId="77777777" w:rsidR="002913CF" w:rsidRDefault="00000000">
    <w:pPr>
      <w:pStyle w:val="Nagwek"/>
    </w:pPr>
    <w:r>
      <w:rPr>
        <w:noProof/>
      </w:rPr>
      <w:pict w14:anchorId="2C4F2B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7455094" o:spid="_x0000_s1035" type="#_x0000_t75" style="position:absolute;margin-left:0;margin-top:0;width:294.65pt;height:700.15pt;z-index:-251641856;mso-position-horizontal:center;mso-position-horizontal-relative:margin;mso-position-vertical:center;mso-position-vertical-relative:margin" o:allowincell="f">
          <v:imagedata r:id="rId1" o:title="pattern_EDED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4CD18" w14:textId="77777777" w:rsidR="002913CF" w:rsidRDefault="00000000">
    <w:pPr>
      <w:pStyle w:val="Nagwek"/>
    </w:pPr>
    <w:r>
      <w:rPr>
        <w:noProof/>
      </w:rPr>
      <w:pict w14:anchorId="744BB8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7455095" o:spid="_x0000_s1036" type="#_x0000_t75" style="position:absolute;margin-left:0;margin-top:0;width:294.65pt;height:700.15pt;z-index:-251640832;mso-position-horizontal:center;mso-position-horizontal-relative:margin;mso-position-vertical:center;mso-position-vertical-relative:margin" o:allowincell="f">
          <v:imagedata r:id="rId1" o:title="pattern_EDEDED"/>
          <w10:wrap anchorx="margin" anchory="margin"/>
        </v:shape>
      </w:pict>
    </w:r>
    <w:r w:rsidR="005B6045">
      <w:rPr>
        <w:noProof/>
      </w:rPr>
      <w:drawing>
        <wp:anchor distT="0" distB="0" distL="114300" distR="114300" simplePos="0" relativeHeight="251667456" behindDoc="0" locked="0" layoutInCell="1" allowOverlap="1" wp14:anchorId="17F6F373" wp14:editId="77E63919">
          <wp:simplePos x="0" y="0"/>
          <wp:positionH relativeFrom="margin">
            <wp:align>left</wp:align>
          </wp:positionH>
          <wp:positionV relativeFrom="margin">
            <wp:posOffset>-584200</wp:posOffset>
          </wp:positionV>
          <wp:extent cx="1224000" cy="392861"/>
          <wp:effectExtent l="0" t="0" r="0" b="7620"/>
          <wp:wrapSquare wrapText="bothSides"/>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4000" cy="392861"/>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2B19" w14:textId="77777777" w:rsidR="002913CF" w:rsidRDefault="00000000" w:rsidP="00B61AAA">
    <w:pPr>
      <w:jc w:val="right"/>
    </w:pPr>
    <w:r>
      <w:rPr>
        <w:noProof/>
      </w:rPr>
      <w:pict w14:anchorId="48F5FA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7455093" o:spid="_x0000_s1034" type="#_x0000_t75" style="position:absolute;left:0;text-align:left;margin-left:268.05pt;margin-top:0;width:255.3pt;height:606.6pt;z-index:-251642880;mso-position-horizontal-relative:margin;mso-position-vertical:center;mso-position-vertical-relative:margin" o:allowincell="f">
          <v:imagedata r:id="rId1" o:title="pattern_EDEDED"/>
          <w10:wrap anchorx="margin" anchory="margin"/>
        </v:shape>
      </w:pict>
    </w:r>
    <w:r w:rsidR="00B61AAA">
      <w:t xml:space="preserve">Warszawa, 5 </w:t>
    </w:r>
    <w:r w:rsidR="000A3C8C">
      <w:t>stycznia</w:t>
    </w:r>
    <w:r w:rsidR="00B61AAA">
      <w:t xml:space="preserve"> 202</w:t>
    </w:r>
    <w:r w:rsidR="000A3C8C">
      <w:t>6</w:t>
    </w:r>
    <w:r w:rsidR="00B61AAA">
      <w:t xml:space="preserve"> r.</w:t>
    </w:r>
    <w:r w:rsidR="002913CF">
      <w:rPr>
        <w:noProof/>
      </w:rPr>
      <w:drawing>
        <wp:anchor distT="0" distB="0" distL="114300" distR="114300" simplePos="0" relativeHeight="251661312" behindDoc="0" locked="0" layoutInCell="1" allowOverlap="1" wp14:anchorId="1F9AB8CA" wp14:editId="0DAFD9A1">
          <wp:simplePos x="0" y="0"/>
          <wp:positionH relativeFrom="margin">
            <wp:align>left</wp:align>
          </wp:positionH>
          <wp:positionV relativeFrom="margin">
            <wp:posOffset>-561975</wp:posOffset>
          </wp:positionV>
          <wp:extent cx="1224000" cy="392861"/>
          <wp:effectExtent l="0" t="0" r="0" b="7620"/>
          <wp:wrapSquare wrapText="bothSides"/>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4000" cy="392861"/>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630CA7C"/>
    <w:lvl w:ilvl="0">
      <w:start w:val="1"/>
      <w:numFmt w:val="decimal"/>
      <w:pStyle w:val="Listanumerowana"/>
      <w:lvlText w:val="%1."/>
      <w:lvlJc w:val="left"/>
      <w:pPr>
        <w:ind w:left="567" w:hanging="397"/>
      </w:pPr>
      <w:rPr>
        <w:rFonts w:hint="default"/>
      </w:rPr>
    </w:lvl>
  </w:abstractNum>
  <w:abstractNum w:abstractNumId="1" w15:restartNumberingAfterBreak="0">
    <w:nsid w:val="01BB1001"/>
    <w:multiLevelType w:val="hybridMultilevel"/>
    <w:tmpl w:val="2F007E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F24C3C"/>
    <w:multiLevelType w:val="hybridMultilevel"/>
    <w:tmpl w:val="C3AC557C"/>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3" w15:restartNumberingAfterBreak="0">
    <w:nsid w:val="0665097D"/>
    <w:multiLevelType w:val="hybridMultilevel"/>
    <w:tmpl w:val="CCBCDE0E"/>
    <w:lvl w:ilvl="0" w:tplc="81540130">
      <w:numFmt w:val="bullet"/>
      <w:lvlText w:val="•"/>
      <w:lvlJc w:val="left"/>
      <w:pPr>
        <w:ind w:left="1068" w:hanging="708"/>
      </w:pPr>
      <w:rPr>
        <w:rFonts w:ascii="Garamond" w:eastAsiaTheme="minorHAnsi" w:hAnsi="Garamond"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D910EC"/>
    <w:multiLevelType w:val="hybridMultilevel"/>
    <w:tmpl w:val="D69463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926178"/>
    <w:multiLevelType w:val="hybridMultilevel"/>
    <w:tmpl w:val="2BFA72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952F5D"/>
    <w:multiLevelType w:val="hybridMultilevel"/>
    <w:tmpl w:val="67A45B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555996"/>
    <w:multiLevelType w:val="hybridMultilevel"/>
    <w:tmpl w:val="56BCDC64"/>
    <w:lvl w:ilvl="0" w:tplc="81540130">
      <w:numFmt w:val="bullet"/>
      <w:lvlText w:val="•"/>
      <w:lvlJc w:val="left"/>
      <w:pPr>
        <w:ind w:left="1068" w:hanging="708"/>
      </w:pPr>
      <w:rPr>
        <w:rFonts w:ascii="Garamond" w:eastAsiaTheme="minorHAnsi" w:hAnsi="Garamond"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1992E87"/>
    <w:multiLevelType w:val="hybridMultilevel"/>
    <w:tmpl w:val="3B7A1D4A"/>
    <w:lvl w:ilvl="0" w:tplc="81540130">
      <w:numFmt w:val="bullet"/>
      <w:lvlText w:val="•"/>
      <w:lvlJc w:val="left"/>
      <w:pPr>
        <w:ind w:left="1068" w:hanging="708"/>
      </w:pPr>
      <w:rPr>
        <w:rFonts w:ascii="Garamond" w:eastAsiaTheme="minorHAnsi" w:hAnsi="Garamond"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5321FD6"/>
    <w:multiLevelType w:val="hybridMultilevel"/>
    <w:tmpl w:val="207810C8"/>
    <w:lvl w:ilvl="0" w:tplc="48566646">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3113E7B"/>
    <w:multiLevelType w:val="hybridMultilevel"/>
    <w:tmpl w:val="90BAA4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36B3FC0"/>
    <w:multiLevelType w:val="hybridMultilevel"/>
    <w:tmpl w:val="DA684A1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3D424C89"/>
    <w:multiLevelType w:val="multilevel"/>
    <w:tmpl w:val="E51CF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1A34E5"/>
    <w:multiLevelType w:val="multilevel"/>
    <w:tmpl w:val="FD3230F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E12EC2"/>
    <w:multiLevelType w:val="hybridMultilevel"/>
    <w:tmpl w:val="3B6E3E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69135A1"/>
    <w:multiLevelType w:val="hybridMultilevel"/>
    <w:tmpl w:val="9BEA0798"/>
    <w:lvl w:ilvl="0" w:tplc="AE045760">
      <w:start w:val="1"/>
      <w:numFmt w:val="decimal"/>
      <w:pStyle w:val="Styl1"/>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F580F63"/>
    <w:multiLevelType w:val="hybridMultilevel"/>
    <w:tmpl w:val="159A295C"/>
    <w:lvl w:ilvl="0" w:tplc="A222850C">
      <w:start w:val="1"/>
      <w:numFmt w:val="decimal"/>
      <w:pStyle w:val="List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3630677"/>
    <w:multiLevelType w:val="hybridMultilevel"/>
    <w:tmpl w:val="F266C21A"/>
    <w:lvl w:ilvl="0" w:tplc="D8EA4214">
      <w:numFmt w:val="bullet"/>
      <w:lvlText w:val="•"/>
      <w:lvlJc w:val="left"/>
      <w:pPr>
        <w:ind w:left="720" w:hanging="360"/>
      </w:pPr>
      <w:rPr>
        <w:rFonts w:ascii="Garamond" w:eastAsiaTheme="minorHAnsi" w:hAnsi="Garamond"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B880CA7"/>
    <w:multiLevelType w:val="hybridMultilevel"/>
    <w:tmpl w:val="6BEE283A"/>
    <w:lvl w:ilvl="0" w:tplc="AB86C14A">
      <w:numFmt w:val="bullet"/>
      <w:pStyle w:val="Akapitzlist"/>
      <w:lvlText w:val="•"/>
      <w:lvlJc w:val="left"/>
      <w:pPr>
        <w:ind w:left="720" w:hanging="360"/>
      </w:pPr>
      <w:rPr>
        <w:rFonts w:ascii="Garamond" w:eastAsiaTheme="minorHAnsi" w:hAnsi="Garamond" w:cstheme="minorBid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77321727"/>
    <w:multiLevelType w:val="hybridMultilevel"/>
    <w:tmpl w:val="F49EF88C"/>
    <w:lvl w:ilvl="0" w:tplc="D8EA4214">
      <w:numFmt w:val="bullet"/>
      <w:lvlText w:val="•"/>
      <w:lvlJc w:val="left"/>
      <w:pPr>
        <w:ind w:left="720" w:hanging="360"/>
      </w:pPr>
      <w:rPr>
        <w:rFonts w:ascii="Garamond" w:eastAsiaTheme="minorHAnsi" w:hAnsi="Garamond" w:cstheme="minorBid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219052648">
    <w:abstractNumId w:val="5"/>
  </w:num>
  <w:num w:numId="2" w16cid:durableId="1893078436">
    <w:abstractNumId w:val="14"/>
  </w:num>
  <w:num w:numId="3" w16cid:durableId="1516655641">
    <w:abstractNumId w:val="15"/>
  </w:num>
  <w:num w:numId="4" w16cid:durableId="176620337">
    <w:abstractNumId w:val="16"/>
  </w:num>
  <w:num w:numId="5" w16cid:durableId="511719707">
    <w:abstractNumId w:val="0"/>
  </w:num>
  <w:num w:numId="6" w16cid:durableId="1185705466">
    <w:abstractNumId w:val="11"/>
  </w:num>
  <w:num w:numId="7" w16cid:durableId="2085911260">
    <w:abstractNumId w:val="17"/>
  </w:num>
  <w:num w:numId="8" w16cid:durableId="803549464">
    <w:abstractNumId w:val="2"/>
  </w:num>
  <w:num w:numId="9" w16cid:durableId="490101604">
    <w:abstractNumId w:val="1"/>
  </w:num>
  <w:num w:numId="10" w16cid:durableId="2140294913">
    <w:abstractNumId w:val="19"/>
  </w:num>
  <w:num w:numId="11" w16cid:durableId="1817183420">
    <w:abstractNumId w:val="18"/>
  </w:num>
  <w:num w:numId="12" w16cid:durableId="1897930714">
    <w:abstractNumId w:val="10"/>
  </w:num>
  <w:num w:numId="13" w16cid:durableId="498276288">
    <w:abstractNumId w:val="6"/>
  </w:num>
  <w:num w:numId="14" w16cid:durableId="1181974097">
    <w:abstractNumId w:val="3"/>
  </w:num>
  <w:num w:numId="15" w16cid:durableId="1301500037">
    <w:abstractNumId w:val="8"/>
  </w:num>
  <w:num w:numId="16" w16cid:durableId="1618561162">
    <w:abstractNumId w:val="7"/>
  </w:num>
  <w:num w:numId="17" w16cid:durableId="1864124029">
    <w:abstractNumId w:val="4"/>
  </w:num>
  <w:num w:numId="18" w16cid:durableId="873420088">
    <w:abstractNumId w:val="9"/>
  </w:num>
  <w:num w:numId="19" w16cid:durableId="3482623">
    <w:abstractNumId w:val="12"/>
  </w:num>
  <w:num w:numId="20" w16cid:durableId="5301474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8C"/>
    <w:rsid w:val="00001D4F"/>
    <w:rsid w:val="000412AB"/>
    <w:rsid w:val="000A3C8C"/>
    <w:rsid w:val="000E19D6"/>
    <w:rsid w:val="00163672"/>
    <w:rsid w:val="00185396"/>
    <w:rsid w:val="001F2390"/>
    <w:rsid w:val="0022365C"/>
    <w:rsid w:val="00234714"/>
    <w:rsid w:val="00254C66"/>
    <w:rsid w:val="00282F5C"/>
    <w:rsid w:val="002913CF"/>
    <w:rsid w:val="002B2C7C"/>
    <w:rsid w:val="002B7CAE"/>
    <w:rsid w:val="002E139A"/>
    <w:rsid w:val="002F071A"/>
    <w:rsid w:val="002F19C7"/>
    <w:rsid w:val="00310D7B"/>
    <w:rsid w:val="00327D33"/>
    <w:rsid w:val="00341991"/>
    <w:rsid w:val="003445E9"/>
    <w:rsid w:val="003A338F"/>
    <w:rsid w:val="003E7DE9"/>
    <w:rsid w:val="00492339"/>
    <w:rsid w:val="004C3647"/>
    <w:rsid w:val="0055425F"/>
    <w:rsid w:val="00577EA1"/>
    <w:rsid w:val="0059749A"/>
    <w:rsid w:val="005B6045"/>
    <w:rsid w:val="005D7AB3"/>
    <w:rsid w:val="006508BA"/>
    <w:rsid w:val="007325E2"/>
    <w:rsid w:val="007916C4"/>
    <w:rsid w:val="007C316F"/>
    <w:rsid w:val="007E17AB"/>
    <w:rsid w:val="00836E40"/>
    <w:rsid w:val="00892637"/>
    <w:rsid w:val="008E258C"/>
    <w:rsid w:val="008F65B2"/>
    <w:rsid w:val="00966B63"/>
    <w:rsid w:val="00A04EE0"/>
    <w:rsid w:val="00A57587"/>
    <w:rsid w:val="00AA769F"/>
    <w:rsid w:val="00B371E7"/>
    <w:rsid w:val="00B61AAA"/>
    <w:rsid w:val="00C35FE1"/>
    <w:rsid w:val="00CE3756"/>
    <w:rsid w:val="00D640D2"/>
    <w:rsid w:val="00DD5C2D"/>
    <w:rsid w:val="00E1781B"/>
    <w:rsid w:val="00E24563"/>
    <w:rsid w:val="00E935B8"/>
    <w:rsid w:val="00F10F61"/>
    <w:rsid w:val="00F63935"/>
    <w:rsid w:val="00FA10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8C47B"/>
  <w15:chartTrackingRefBased/>
  <w15:docId w15:val="{1D52E4CB-C412-4928-BEAE-20B8383D6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35B8"/>
    <w:pPr>
      <w:spacing w:after="397" w:line="300" w:lineRule="auto"/>
    </w:pPr>
    <w:rPr>
      <w:rFonts w:ascii="Garamond" w:hAnsi="Garamond"/>
      <w:sz w:val="24"/>
    </w:rPr>
  </w:style>
  <w:style w:type="paragraph" w:styleId="Nagwek1">
    <w:name w:val="heading 1"/>
    <w:basedOn w:val="Normalny"/>
    <w:next w:val="Normalny"/>
    <w:link w:val="Nagwek1Znak"/>
    <w:uiPriority w:val="9"/>
    <w:qFormat/>
    <w:rsid w:val="00A04EE0"/>
    <w:pPr>
      <w:keepNext/>
      <w:keepLines/>
      <w:spacing w:before="240" w:after="120" w:line="276" w:lineRule="auto"/>
      <w:outlineLvl w:val="0"/>
    </w:pPr>
    <w:rPr>
      <w:rFonts w:eastAsiaTheme="majorEastAsia" w:cstheme="majorBidi"/>
      <w:b/>
      <w:color w:val="000000" w:themeColor="text1"/>
      <w:sz w:val="36"/>
      <w:szCs w:val="32"/>
    </w:rPr>
  </w:style>
  <w:style w:type="paragraph" w:styleId="Nagwek2">
    <w:name w:val="heading 2"/>
    <w:basedOn w:val="Normalny"/>
    <w:next w:val="Normalny"/>
    <w:link w:val="Nagwek2Znak"/>
    <w:uiPriority w:val="9"/>
    <w:unhideWhenUsed/>
    <w:qFormat/>
    <w:rsid w:val="00001D4F"/>
    <w:pPr>
      <w:keepNext/>
      <w:keepLines/>
      <w:spacing w:before="480" w:after="360" w:line="262" w:lineRule="auto"/>
      <w:outlineLvl w:val="1"/>
    </w:pPr>
    <w:rPr>
      <w:rFonts w:eastAsiaTheme="majorEastAsia" w:cstheme="majorBidi"/>
      <w:b/>
      <w:color w:val="000000" w:themeColor="text1"/>
      <w:sz w:val="36"/>
      <w:szCs w:val="26"/>
    </w:rPr>
  </w:style>
  <w:style w:type="paragraph" w:styleId="Nagwek3">
    <w:name w:val="heading 3"/>
    <w:basedOn w:val="Normalny"/>
    <w:next w:val="Normalny"/>
    <w:link w:val="Nagwek3Znak"/>
    <w:uiPriority w:val="9"/>
    <w:unhideWhenUsed/>
    <w:qFormat/>
    <w:rsid w:val="0059749A"/>
    <w:pPr>
      <w:keepNext/>
      <w:keepLines/>
      <w:spacing w:before="510" w:line="274" w:lineRule="auto"/>
      <w:outlineLvl w:val="2"/>
    </w:pPr>
    <w:rPr>
      <w:rFonts w:eastAsiaTheme="majorEastAsia" w:cstheme="majorBidi"/>
      <w:b/>
      <w:color w:val="000000" w:themeColor="text1"/>
      <w:sz w:val="28"/>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913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913CF"/>
  </w:style>
  <w:style w:type="paragraph" w:styleId="Stopka">
    <w:name w:val="footer"/>
    <w:basedOn w:val="Normalny"/>
    <w:link w:val="StopkaZnak"/>
    <w:uiPriority w:val="99"/>
    <w:unhideWhenUsed/>
    <w:rsid w:val="002913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13CF"/>
  </w:style>
  <w:style w:type="paragraph" w:styleId="Tekstprzypisukocowego">
    <w:name w:val="endnote text"/>
    <w:basedOn w:val="Normalny"/>
    <w:link w:val="TekstprzypisukocowegoZnak"/>
    <w:uiPriority w:val="99"/>
    <w:semiHidden/>
    <w:unhideWhenUsed/>
    <w:rsid w:val="00B61AA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61AAA"/>
    <w:rPr>
      <w:sz w:val="20"/>
      <w:szCs w:val="20"/>
    </w:rPr>
  </w:style>
  <w:style w:type="character" w:styleId="Odwoanieprzypisukocowego">
    <w:name w:val="endnote reference"/>
    <w:basedOn w:val="Domylnaczcionkaakapitu"/>
    <w:uiPriority w:val="99"/>
    <w:semiHidden/>
    <w:unhideWhenUsed/>
    <w:rsid w:val="00B61AAA"/>
    <w:rPr>
      <w:vertAlign w:val="superscript"/>
    </w:rPr>
  </w:style>
  <w:style w:type="paragraph" w:styleId="Bezodstpw">
    <w:name w:val="No Spacing"/>
    <w:uiPriority w:val="1"/>
    <w:qFormat/>
    <w:rsid w:val="00B61AAA"/>
    <w:pPr>
      <w:spacing w:after="0" w:line="240" w:lineRule="auto"/>
    </w:pPr>
    <w:rPr>
      <w:rFonts w:ascii="Garamond" w:hAnsi="Garamond"/>
      <w:sz w:val="24"/>
    </w:rPr>
  </w:style>
  <w:style w:type="paragraph" w:customStyle="1" w:styleId="Body1">
    <w:name w:val="Body 1"/>
    <w:basedOn w:val="Normalny"/>
    <w:qFormat/>
    <w:rsid w:val="00A04EE0"/>
    <w:pPr>
      <w:spacing w:before="240" w:after="240" w:line="276" w:lineRule="auto"/>
    </w:pPr>
    <w:rPr>
      <w:color w:val="000000" w:themeColor="text1"/>
      <w:lang w:val="en-GB" w:eastAsia="pl-PL"/>
    </w:rPr>
  </w:style>
  <w:style w:type="character" w:customStyle="1" w:styleId="Nagwek1Znak">
    <w:name w:val="Nagłówek 1 Znak"/>
    <w:basedOn w:val="Domylnaczcionkaakapitu"/>
    <w:link w:val="Nagwek1"/>
    <w:uiPriority w:val="9"/>
    <w:rsid w:val="00A04EE0"/>
    <w:rPr>
      <w:rFonts w:ascii="Garamond" w:eastAsiaTheme="majorEastAsia" w:hAnsi="Garamond" w:cstheme="majorBidi"/>
      <w:b/>
      <w:color w:val="000000" w:themeColor="text1"/>
      <w:sz w:val="36"/>
      <w:szCs w:val="32"/>
    </w:rPr>
  </w:style>
  <w:style w:type="character" w:customStyle="1" w:styleId="fontstyle21">
    <w:name w:val="fontstyle21"/>
    <w:basedOn w:val="Domylnaczcionkaakapitu"/>
    <w:rsid w:val="00B61AAA"/>
    <w:rPr>
      <w:rFonts w:ascii="AGaramondPro-Bold" w:hAnsi="AGaramondPro-Bold" w:hint="default"/>
      <w:b/>
      <w:bCs/>
      <w:i w:val="0"/>
      <w:iCs w:val="0"/>
      <w:color w:val="242021"/>
      <w:sz w:val="36"/>
      <w:szCs w:val="36"/>
    </w:rPr>
  </w:style>
  <w:style w:type="paragraph" w:styleId="Akapitzlist">
    <w:name w:val="List Paragraph"/>
    <w:basedOn w:val="Normalny"/>
    <w:uiPriority w:val="34"/>
    <w:qFormat/>
    <w:rsid w:val="0022365C"/>
    <w:pPr>
      <w:numPr>
        <w:numId w:val="11"/>
      </w:numPr>
      <w:spacing w:before="120" w:after="120"/>
      <w:ind w:left="714" w:hanging="357"/>
    </w:pPr>
    <w:rPr>
      <w:color w:val="000000" w:themeColor="text1"/>
    </w:rPr>
  </w:style>
  <w:style w:type="paragraph" w:customStyle="1" w:styleId="Styl1">
    <w:name w:val="Styl1"/>
    <w:basedOn w:val="Akapitzlist"/>
    <w:rsid w:val="00E935B8"/>
    <w:pPr>
      <w:numPr>
        <w:numId w:val="3"/>
      </w:numPr>
    </w:pPr>
    <w:rPr>
      <w:lang w:eastAsia="pl-PL"/>
    </w:rPr>
  </w:style>
  <w:style w:type="paragraph" w:styleId="Listanumerowana">
    <w:name w:val="List Number"/>
    <w:basedOn w:val="Normalny"/>
    <w:uiPriority w:val="99"/>
    <w:unhideWhenUsed/>
    <w:rsid w:val="00E935B8"/>
    <w:pPr>
      <w:numPr>
        <w:numId w:val="5"/>
      </w:numPr>
      <w:contextualSpacing/>
    </w:pPr>
  </w:style>
  <w:style w:type="paragraph" w:styleId="Lista">
    <w:name w:val="List"/>
    <w:basedOn w:val="Normalny"/>
    <w:uiPriority w:val="99"/>
    <w:semiHidden/>
    <w:unhideWhenUsed/>
    <w:rsid w:val="00E935B8"/>
    <w:pPr>
      <w:numPr>
        <w:numId w:val="4"/>
      </w:numPr>
      <w:spacing w:before="397"/>
      <w:contextualSpacing/>
    </w:pPr>
  </w:style>
  <w:style w:type="character" w:customStyle="1" w:styleId="Nagwek2Znak">
    <w:name w:val="Nagłówek 2 Znak"/>
    <w:basedOn w:val="Domylnaczcionkaakapitu"/>
    <w:link w:val="Nagwek2"/>
    <w:uiPriority w:val="9"/>
    <w:rsid w:val="00001D4F"/>
    <w:rPr>
      <w:rFonts w:ascii="Garamond" w:eastAsiaTheme="majorEastAsia" w:hAnsi="Garamond" w:cstheme="majorBidi"/>
      <w:b/>
      <w:color w:val="000000" w:themeColor="text1"/>
      <w:sz w:val="36"/>
      <w:szCs w:val="26"/>
    </w:rPr>
  </w:style>
  <w:style w:type="character" w:customStyle="1" w:styleId="Nagwek3Znak">
    <w:name w:val="Nagłówek 3 Znak"/>
    <w:basedOn w:val="Domylnaczcionkaakapitu"/>
    <w:link w:val="Nagwek3"/>
    <w:uiPriority w:val="9"/>
    <w:rsid w:val="0059749A"/>
    <w:rPr>
      <w:rFonts w:ascii="Garamond" w:eastAsiaTheme="majorEastAsia" w:hAnsi="Garamond" w:cstheme="majorBidi"/>
      <w:b/>
      <w:color w:val="000000" w:themeColor="text1"/>
      <w:sz w:val="28"/>
      <w:szCs w:val="24"/>
    </w:rPr>
  </w:style>
  <w:style w:type="table" w:styleId="Tabela-Siatka">
    <w:name w:val="Table Grid"/>
    <w:basedOn w:val="Standardowy"/>
    <w:uiPriority w:val="39"/>
    <w:rsid w:val="00E93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basedOn w:val="Body1"/>
    <w:qFormat/>
    <w:rsid w:val="00A57587"/>
    <w:pPr>
      <w:spacing w:before="0" w:after="0" w:line="336" w:lineRule="auto"/>
      <w:contextualSpacing/>
    </w:pPr>
    <w:rPr>
      <w:sz w:val="20"/>
    </w:rPr>
  </w:style>
  <w:style w:type="paragraph" w:customStyle="1" w:styleId="Stopka1">
    <w:name w:val="Stopka1"/>
    <w:basedOn w:val="Stopka"/>
    <w:qFormat/>
    <w:rsid w:val="003E7DE9"/>
    <w:pPr>
      <w:spacing w:line="300" w:lineRule="auto"/>
      <w:jc w:val="center"/>
    </w:pPr>
    <w:rPr>
      <w:color w:val="706F6F"/>
    </w:rPr>
  </w:style>
  <w:style w:type="character" w:styleId="Hipercze">
    <w:name w:val="Hyperlink"/>
    <w:basedOn w:val="Domylnaczcionkaakapitu"/>
    <w:uiPriority w:val="99"/>
    <w:unhideWhenUsed/>
    <w:rsid w:val="007C316F"/>
    <w:rPr>
      <w:color w:val="C00000"/>
      <w:u w:val="single"/>
    </w:rPr>
  </w:style>
  <w:style w:type="paragraph" w:styleId="Tytu">
    <w:name w:val="Title"/>
    <w:basedOn w:val="Normalny"/>
    <w:next w:val="Normalny"/>
    <w:link w:val="TytuZnak"/>
    <w:uiPriority w:val="10"/>
    <w:qFormat/>
    <w:rsid w:val="00A04EE0"/>
    <w:pPr>
      <w:spacing w:after="0" w:line="240" w:lineRule="auto"/>
      <w:contextualSpacing/>
    </w:pPr>
    <w:rPr>
      <w:rFonts w:eastAsiaTheme="majorEastAsia" w:cstheme="majorBidi"/>
      <w:b/>
      <w:spacing w:val="-10"/>
      <w:kern w:val="28"/>
      <w:sz w:val="56"/>
      <w:szCs w:val="56"/>
    </w:rPr>
  </w:style>
  <w:style w:type="character" w:customStyle="1" w:styleId="TytuZnak">
    <w:name w:val="Tytuł Znak"/>
    <w:basedOn w:val="Domylnaczcionkaakapitu"/>
    <w:link w:val="Tytu"/>
    <w:uiPriority w:val="10"/>
    <w:rsid w:val="00A04EE0"/>
    <w:rPr>
      <w:rFonts w:ascii="Garamond" w:eastAsiaTheme="majorEastAsia" w:hAnsi="Garamond" w:cstheme="majorBidi"/>
      <w:b/>
      <w:spacing w:val="-10"/>
      <w:kern w:val="28"/>
      <w:sz w:val="56"/>
      <w:szCs w:val="56"/>
    </w:rPr>
  </w:style>
  <w:style w:type="paragraph" w:styleId="Podtytu">
    <w:name w:val="Subtitle"/>
    <w:basedOn w:val="Normalny"/>
    <w:next w:val="Normalny"/>
    <w:link w:val="PodtytuZnak"/>
    <w:uiPriority w:val="11"/>
    <w:qFormat/>
    <w:rsid w:val="00A04EE0"/>
    <w:pPr>
      <w:numPr>
        <w:ilvl w:val="1"/>
      </w:numPr>
      <w:spacing w:after="160"/>
    </w:pPr>
    <w:rPr>
      <w:rFonts w:eastAsiaTheme="minorEastAsia"/>
      <w:color w:val="000000" w:themeColor="text1"/>
      <w:spacing w:val="15"/>
      <w:sz w:val="22"/>
    </w:rPr>
  </w:style>
  <w:style w:type="character" w:customStyle="1" w:styleId="PodtytuZnak">
    <w:name w:val="Podtytuł Znak"/>
    <w:basedOn w:val="Domylnaczcionkaakapitu"/>
    <w:link w:val="Podtytu"/>
    <w:uiPriority w:val="11"/>
    <w:rsid w:val="00A04EE0"/>
    <w:rPr>
      <w:rFonts w:ascii="Garamond" w:eastAsiaTheme="minorEastAsia" w:hAnsi="Garamond"/>
      <w:color w:val="000000" w:themeColor="text1"/>
      <w:spacing w:val="15"/>
    </w:rPr>
  </w:style>
  <w:style w:type="character" w:styleId="Wyrnieniedelikatne">
    <w:name w:val="Subtle Emphasis"/>
    <w:basedOn w:val="Domylnaczcionkaakapitu"/>
    <w:uiPriority w:val="19"/>
    <w:qFormat/>
    <w:rsid w:val="00966B63"/>
    <w:rPr>
      <w:i/>
      <w:iCs/>
      <w:color w:val="404040" w:themeColor="text1" w:themeTint="BF"/>
    </w:rPr>
  </w:style>
  <w:style w:type="character" w:styleId="Nierozpoznanawzmianka">
    <w:name w:val="Unresolved Mention"/>
    <w:basedOn w:val="Domylnaczcionkaakapitu"/>
    <w:uiPriority w:val="99"/>
    <w:semiHidden/>
    <w:unhideWhenUsed/>
    <w:rsid w:val="00AA769F"/>
    <w:rPr>
      <w:color w:val="605E5C"/>
      <w:shd w:val="clear" w:color="auto" w:fill="E1DFDD"/>
    </w:rPr>
  </w:style>
  <w:style w:type="paragraph" w:styleId="NormalnyWeb">
    <w:name w:val="Normal (Web)"/>
    <w:basedOn w:val="Normalny"/>
    <w:uiPriority w:val="99"/>
    <w:unhideWhenUsed/>
    <w:rsid w:val="003A338F"/>
    <w:pPr>
      <w:spacing w:before="100" w:beforeAutospacing="1" w:after="100" w:afterAutospacing="1" w:line="240" w:lineRule="auto"/>
    </w:pPr>
    <w:rPr>
      <w:rFonts w:ascii="Times New Roman" w:eastAsia="Times New Roman" w:hAnsi="Times New Roman" w:cs="Times New Roman"/>
      <w:szCs w:val="24"/>
      <w:lang w:eastAsia="pl-PL"/>
    </w:rPr>
  </w:style>
  <w:style w:type="paragraph" w:styleId="Tekstdymka">
    <w:name w:val="Balloon Text"/>
    <w:basedOn w:val="Normalny"/>
    <w:link w:val="TekstdymkaZnak"/>
    <w:uiPriority w:val="99"/>
    <w:semiHidden/>
    <w:unhideWhenUsed/>
    <w:rsid w:val="003A338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A338F"/>
    <w:rPr>
      <w:rFonts w:ascii="Segoe UI" w:hAnsi="Segoe UI" w:cs="Segoe UI"/>
      <w:sz w:val="18"/>
      <w:szCs w:val="18"/>
    </w:rPr>
  </w:style>
  <w:style w:type="paragraph" w:styleId="Poprawka">
    <w:name w:val="Revision"/>
    <w:hidden/>
    <w:uiPriority w:val="99"/>
    <w:semiHidden/>
    <w:rsid w:val="00163672"/>
    <w:pPr>
      <w:spacing w:after="0" w:line="240" w:lineRule="auto"/>
    </w:pPr>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651746">
      <w:bodyDiv w:val="1"/>
      <w:marLeft w:val="0"/>
      <w:marRight w:val="0"/>
      <w:marTop w:val="0"/>
      <w:marBottom w:val="0"/>
      <w:divBdr>
        <w:top w:val="none" w:sz="0" w:space="0" w:color="auto"/>
        <w:left w:val="none" w:sz="0" w:space="0" w:color="auto"/>
        <w:bottom w:val="none" w:sz="0" w:space="0" w:color="auto"/>
        <w:right w:val="none" w:sz="0" w:space="0" w:color="auto"/>
      </w:divBdr>
    </w:div>
    <w:div w:id="266936462">
      <w:bodyDiv w:val="1"/>
      <w:marLeft w:val="0"/>
      <w:marRight w:val="0"/>
      <w:marTop w:val="0"/>
      <w:marBottom w:val="0"/>
      <w:divBdr>
        <w:top w:val="none" w:sz="0" w:space="0" w:color="auto"/>
        <w:left w:val="none" w:sz="0" w:space="0" w:color="auto"/>
        <w:bottom w:val="none" w:sz="0" w:space="0" w:color="auto"/>
        <w:right w:val="none" w:sz="0" w:space="0" w:color="auto"/>
      </w:divBdr>
    </w:div>
    <w:div w:id="204382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strategy.ec.europa.eu/pl/policies/list-designated-vlops-and-vlos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aiw\Downloads\szablon_Papier-firmowy_PL_8-2025.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6F9BA-F2C2-4E53-9608-3B40DA856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szablon_Papier-firmowy_PL_8-2025</Template>
  <TotalTime>10</TotalTime>
  <Pages>5</Pages>
  <Words>1649</Words>
  <Characters>9898</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Panoptykon</dc:creator>
  <cp:keywords/>
  <dc:description/>
  <cp:lastModifiedBy>Aleksandra Iwańska</cp:lastModifiedBy>
  <cp:revision>5</cp:revision>
  <cp:lastPrinted>2026-01-09T16:43:00Z</cp:lastPrinted>
  <dcterms:created xsi:type="dcterms:W3CDTF">2026-01-09T16:17:00Z</dcterms:created>
  <dcterms:modified xsi:type="dcterms:W3CDTF">2026-01-09T16:46:00Z</dcterms:modified>
</cp:coreProperties>
</file>