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0AE5" w14:textId="77777777" w:rsidR="00EF4397" w:rsidRPr="00AC7E1B" w:rsidRDefault="00EF4397" w:rsidP="00AC7E1B">
      <w:pPr>
        <w:jc w:val="center"/>
        <w:rPr>
          <w:b/>
          <w:bCs/>
          <w:sz w:val="28"/>
          <w:szCs w:val="28"/>
          <w:lang w:val="pl-PL"/>
        </w:rPr>
      </w:pPr>
      <w:r w:rsidRPr="00EF4397">
        <w:rPr>
          <w:b/>
          <w:bCs/>
          <w:sz w:val="28"/>
          <w:szCs w:val="28"/>
          <w:lang w:val="pl-PL"/>
        </w:rPr>
        <w:t>Polska wspiera wymiar sprawiedliwości przyjazny dzieciom: ogólnokrajowa konferencja na temat dostępu do wymiaru sprawiedliwości dla dzieci-uchodźców i migrantów</w:t>
      </w:r>
    </w:p>
    <w:p w14:paraId="47C10E55" w14:textId="04302169" w:rsidR="00AC7E1B" w:rsidRDefault="00AC7E1B" w:rsidP="00AC7E1B">
      <w:pPr>
        <w:jc w:val="center"/>
        <w:rPr>
          <w:b/>
          <w:bCs/>
          <w:lang w:val="pl-PL"/>
        </w:rPr>
      </w:pPr>
      <w:r>
        <w:rPr>
          <w:b/>
          <w:bCs/>
          <w:noProof/>
          <w:lang w:val="pl-PL"/>
        </w:rPr>
        <w:drawing>
          <wp:inline distT="0" distB="0" distL="0" distR="0" wp14:anchorId="720AC0CB" wp14:editId="387F95A9">
            <wp:extent cx="4427237" cy="2949575"/>
            <wp:effectExtent l="0" t="0" r="0" b="3175"/>
            <wp:docPr id="9514711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798" cy="2950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08775F" w14:textId="585E24FA" w:rsidR="00AC7E1B" w:rsidRPr="00EF4397" w:rsidRDefault="00AC7E1B" w:rsidP="00AC7E1B">
      <w:pPr>
        <w:jc w:val="center"/>
        <w:rPr>
          <w:sz w:val="20"/>
          <w:szCs w:val="20"/>
          <w:lang w:val="pl-PL"/>
        </w:rPr>
      </w:pPr>
      <w:r w:rsidRPr="00AC7E1B">
        <w:rPr>
          <w:sz w:val="20"/>
          <w:szCs w:val="20"/>
          <w:lang w:val="pl-PL"/>
        </w:rPr>
        <w:t>Fot. UNICEF/Rekłajtis</w:t>
      </w:r>
    </w:p>
    <w:p w14:paraId="33E24C86" w14:textId="77777777" w:rsidR="00AC7E1B" w:rsidRDefault="00AC7E1B" w:rsidP="00EF4397">
      <w:pPr>
        <w:rPr>
          <w:b/>
          <w:bCs/>
          <w:lang w:val="pl-PL"/>
        </w:rPr>
      </w:pPr>
    </w:p>
    <w:p w14:paraId="151B3D45" w14:textId="2EBD6BEE" w:rsidR="00EF4397" w:rsidRPr="00EF4397" w:rsidRDefault="00EF4397" w:rsidP="00AC7E1B">
      <w:pPr>
        <w:jc w:val="both"/>
        <w:rPr>
          <w:lang w:val="pl-PL"/>
        </w:rPr>
      </w:pPr>
      <w:r w:rsidRPr="00EF4397">
        <w:rPr>
          <w:b/>
          <w:bCs/>
          <w:lang w:val="pl-PL"/>
        </w:rPr>
        <w:t>Warszawa, Polska</w:t>
      </w:r>
      <w:r w:rsidRPr="00EF4397">
        <w:rPr>
          <w:lang w:val="pl-PL"/>
        </w:rPr>
        <w:t>  - Ogólnokrajowa konferencja </w:t>
      </w:r>
      <w:r w:rsidRPr="00EF4397">
        <w:rPr>
          <w:b/>
          <w:bCs/>
          <w:lang w:val="pl-PL"/>
        </w:rPr>
        <w:t>„Dostęp do wymiaru sprawiedliwości dla dzieci-uchodźców i migrantów”</w:t>
      </w:r>
      <w:r w:rsidRPr="00EF4397">
        <w:rPr>
          <w:lang w:val="pl-PL"/>
        </w:rPr>
        <w:t>, która odbyła się w dniach 13-14 listopada 2025 roku, zgromadziła ponad 150 ekspertów i decydentów, aby omówić, w jaki sposób polski system wymiaru sprawiedliwości może lepiej odpowiadać na potrzeby wszystkich dzieci, w tym dzieci w drodze.</w:t>
      </w:r>
    </w:p>
    <w:p w14:paraId="510A32CB" w14:textId="77777777" w:rsidR="00EF4397" w:rsidRPr="00EF4397" w:rsidRDefault="00EF4397" w:rsidP="00AC7E1B">
      <w:pPr>
        <w:jc w:val="both"/>
        <w:rPr>
          <w:lang w:val="pl-PL"/>
        </w:rPr>
      </w:pPr>
      <w:r w:rsidRPr="00EF4397">
        <w:rPr>
          <w:lang w:val="pl-PL"/>
        </w:rPr>
        <w:t>Od 2023 roku Ministerstwo Sprawiedliwości, Krajowa Szkoła Sądownictwa i Prokuratury oraz Instytut Ekspertyz Sądowych, przy wsparciu Biura UNICEF ds. Reagowania na Potrzeby Uchodźców Polsce, współpracują, aby przekształcić system wymiaru sprawiedliwości w system rzeczywiście przyjazny dziecku – tak, aby każde dziecko, niezależnie od narodowości czy statusu migracyjnego, miało równy dostęp do wymiaru sprawiedliwości.</w:t>
      </w:r>
    </w:p>
    <w:p w14:paraId="0F4B6E77" w14:textId="77777777" w:rsidR="00EF4397" w:rsidRPr="00EF4397" w:rsidRDefault="00EF4397" w:rsidP="00AC7E1B">
      <w:pPr>
        <w:jc w:val="both"/>
        <w:rPr>
          <w:lang w:val="pl-PL"/>
        </w:rPr>
      </w:pPr>
      <w:r w:rsidRPr="00EF4397">
        <w:rPr>
          <w:lang w:val="pl-PL"/>
        </w:rPr>
        <w:t>Konferencja została zorganizowana, aby zaprezentować efekty wspólnej pracy nad zapewnieniem dostępu do wymiaru sprawiedliwości, a przede wszystkim – stworzyć wyjątkową platformę dla przedstawicieli instytucji rządowych, międzynarodowych i pozarządowych do dyskusji nad zasadami i praktykami przyjaznego dzieciom wymiaru sprawiedliwości w kontekście reagowania na sytuację uchodźczą, wymiany wiedzy i dobrych praktyk oraz inspirowania nowych rozwiązań.</w:t>
      </w:r>
    </w:p>
    <w:p w14:paraId="5BD9811A" w14:textId="77777777" w:rsidR="00EF4397" w:rsidRPr="00EF4397" w:rsidRDefault="00EF4397" w:rsidP="00AC7E1B">
      <w:pPr>
        <w:jc w:val="both"/>
        <w:rPr>
          <w:lang w:val="pl-PL"/>
        </w:rPr>
      </w:pPr>
      <w:r w:rsidRPr="00EF4397">
        <w:rPr>
          <w:lang w:val="pl-PL"/>
        </w:rPr>
        <w:lastRenderedPageBreak/>
        <w:t>„Dostęp do wymiaru sprawiedliwości nie jest przywilejem, lecz prawem każdego dziecka. W obliczu rosnącej liczby dzieci przemieszczonych z powodu konfliktów i przemocy, kluczowe jest, aby systemy wymiaru sprawiedliwości były włączające, przyjazne dzieciom i odpowiadały na ich potrzeby. Nasza współpraca z Ministerstwem Sprawiedliwości, Krajową Szkołą Sądownictwa i Prokuratury oraz Instytutem Ekspertyz Sądowych pokazuje, jak wiele można osiągnąć dzięki wspólnemu zaangażowaniu. Razem na nowo wyobrażamy sobie wymiar sprawiedliwości – tak, aby każde dziecko w Polsce, niezależnie od pochodzenia czy statusu migracyjnego, mogło być dostrzeżone, wysłuchane i chronione,” powiedziała Diana Vakarelska, Koordynatorka Krajowa Biura UNICEF ds. Reagowania na Potrzeby Uchodźców w Polsce, podczas sesji otwierającej.</w:t>
      </w:r>
    </w:p>
    <w:p w14:paraId="423AB34A" w14:textId="77777777" w:rsidR="00EF4397" w:rsidRPr="00EF4397" w:rsidRDefault="00EF4397" w:rsidP="00AC7E1B">
      <w:pPr>
        <w:jc w:val="both"/>
        <w:rPr>
          <w:lang w:val="pl-PL"/>
        </w:rPr>
      </w:pPr>
      <w:r w:rsidRPr="00EF4397">
        <w:rPr>
          <w:lang w:val="pl-PL"/>
        </w:rPr>
        <w:t>“Dzisiejsze spotkanie jest możliwe dzięki wspólnym priorytetom Ministerstwa Sprawiedliwości i UNICEF – priorytetom, które łączą nas wokół jednego celu: ochrony praw dziecka, niezależnie od jego pochodzenia, sytuacji rodzinnej czy życiowych doświadczeń. Już od trzech lat współpracujemy w tym niezwykle ważnym obszarze, podejmując działania, które realnie wzmacniają system ochrony najmłodszych. Dzisiejsza konferencja, podczas której podsumowujemy dotychczasowe osiągnięcia, nie jest zakończeniem naszej wspólnej drogi – to raczej przecinek, moment refleksji i inspiracji do dalszej pracy. Współpraca między MS a UNICEF to przykład, jak łączenie doświadczeń instytucji publicznych i organizacji międzynarodowych może przynosić konkretne, trwałe efekty w imię dobra dziecka,” powiedział podczas otwarcia Wiceminister Sprawiedliwości Sławomir Pałka.</w:t>
      </w:r>
    </w:p>
    <w:p w14:paraId="60FCE67D" w14:textId="77777777" w:rsidR="00EF4397" w:rsidRPr="00EF4397" w:rsidRDefault="00EF4397" w:rsidP="00AC7E1B">
      <w:pPr>
        <w:jc w:val="both"/>
        <w:rPr>
          <w:lang w:val="pl-PL"/>
        </w:rPr>
      </w:pPr>
      <w:r w:rsidRPr="00EF4397">
        <w:rPr>
          <w:lang w:val="pl-PL"/>
        </w:rPr>
        <w:t>“To przedsięwzięcie okazało się ogromnym sukcesem. Dzięki zaangażowaniu Krajowej Szkoły Sądownictwa i Prokuratury przeszkolonych zostało aż 8 tysięcy osób – kuratorów, sędziów oraz prokuratorów – kluczowych przedstawicieli systemu reagowania na przemoc. Tak szeroko zakrojone działania przyczyniły się do realnego wzmocnienia kompetencji zawodowych osób mających bezpośredni wpływ na ochronę dzieci i rodzin w sytuacjach kryzysowych. Niezwykle cenna okazała się współpraca z ekspertami UNICEF, która stworzyła wyjątkową okazję do poznania najlepszych praktyk z innych krajów, a następnie dostosowania ich do polskich realiów. Dzięki temu możliwe było nie tylko wykorzystanie sprawdzonych rozwiązań, lecz także zbudowanie nowej jakości w zakresie ochrony dobra i bezpieczeństwa dziecka – opartej na wiedzy, empatii i skutecznym reagowaniu na przemoc,” powiedział Dyrektor Funduszy i Nieodpłatnej Pomocy Prawnej w Ministerstwie Sprawiedliwości Tomasz Gajewski.</w:t>
      </w:r>
    </w:p>
    <w:p w14:paraId="6123239F" w14:textId="77777777" w:rsidR="00EF4397" w:rsidRPr="00EF4397" w:rsidRDefault="00EF4397" w:rsidP="00AC7E1B">
      <w:pPr>
        <w:jc w:val="both"/>
        <w:rPr>
          <w:lang w:val="pl-PL"/>
        </w:rPr>
      </w:pPr>
      <w:r w:rsidRPr="00EF4397">
        <w:rPr>
          <w:lang w:val="pl-PL"/>
        </w:rPr>
        <w:t xml:space="preserve">Dyskusje koncentrowały się na tym, w jaki sposób system wymiaru sprawiedliwości może dostosować się do unikalnych potrzeb dzieci uczestniczących w postępowaniach związanych z migracją – obejmując tematy, takie jak pomoc prawna przyjazna dzieciom, </w:t>
      </w:r>
      <w:r w:rsidRPr="00EF4397">
        <w:rPr>
          <w:lang w:val="pl-PL"/>
        </w:rPr>
        <w:lastRenderedPageBreak/>
        <w:t>alternatywy dla detencji oraz procedury sądowe w kontekście spraw karnych, rodzinnych i dotyczących osób nieletnich.</w:t>
      </w:r>
    </w:p>
    <w:p w14:paraId="1C1A7F47" w14:textId="77777777" w:rsidR="00EF4397" w:rsidRPr="00EF4397" w:rsidRDefault="00EF4397" w:rsidP="00AC7E1B">
      <w:pPr>
        <w:jc w:val="both"/>
        <w:rPr>
          <w:lang w:val="pl-PL"/>
        </w:rPr>
      </w:pPr>
      <w:r w:rsidRPr="00EF4397">
        <w:rPr>
          <w:lang w:val="pl-PL"/>
        </w:rPr>
        <w:t>W wydarzeniu uczestniczyli przedstawiciele różnych sektorów, w tym reprezentanci ministerstw odpowiedzialnych za sprawiedliwość, rodzinę i sprawy wewnętrzne, ambasad, innych publicznych instytucji narodowych i międzynarodowych, międzynarodowi eksperci w zakresie dostępu do wymiaru sprawiedliwości i migracji, organizacje międzynarodowe i pozarządowe, krajowi eksperci ds. wymiaru sprawiedliwości, prawnicy, przedstawiciele zawodów prawniczych (sędziowie, prokuratorzy, urzędnicy sądowi), pracownicy socjalni, funkcjonariusze organów ścigania i inni.</w:t>
      </w:r>
    </w:p>
    <w:p w14:paraId="3F918B94" w14:textId="77777777" w:rsidR="00EF4397" w:rsidRPr="00EF4397" w:rsidRDefault="00EF4397" w:rsidP="00AC7E1B">
      <w:pPr>
        <w:jc w:val="both"/>
        <w:rPr>
          <w:lang w:val="pl-PL"/>
        </w:rPr>
      </w:pPr>
      <w:r w:rsidRPr="00EF4397">
        <w:rPr>
          <w:lang w:val="pl-PL"/>
        </w:rPr>
        <w:t>Ten ogólnokrajowy dialog wpisuje się w globalną agendę UNICEF #ReimagineJustice for Children, która zachęca rządy do tworzenia systemów wymiaru sprawiedliwości dostępnych, rzetelnych i odpowiadających na potrzeby wszystkich dzieci.</w:t>
      </w:r>
    </w:p>
    <w:p w14:paraId="4DA47CDD" w14:textId="77777777" w:rsidR="00EF4397" w:rsidRPr="00EF4397" w:rsidRDefault="00EF4397" w:rsidP="00AC7E1B">
      <w:pPr>
        <w:jc w:val="both"/>
        <w:rPr>
          <w:lang w:val="pl-PL"/>
        </w:rPr>
      </w:pPr>
      <w:r w:rsidRPr="00EF4397">
        <w:rPr>
          <w:lang w:val="pl-PL"/>
        </w:rPr>
        <w:t>Rezultaty konferencji przyczynią się do dalszego wzmacniania praktyk przyjaznych dzieciom w wymiarze sprawiedliwości w Polsce i posłużą jako model dla innych krajów, które dążą do zapewnienia, by każde dziecko – bez względu na to, kim jest i skąd pochodzi – miało równy dostęp do wymiaru sprawiedliwości. </w:t>
      </w:r>
    </w:p>
    <w:p w14:paraId="61FF2DB4" w14:textId="77777777" w:rsidR="00E94554" w:rsidRDefault="00E94554">
      <w:pPr>
        <w:rPr>
          <w:lang w:val="pl-PL"/>
        </w:rPr>
      </w:pPr>
    </w:p>
    <w:p w14:paraId="7464D980" w14:textId="2AC69009" w:rsidR="00DA574C" w:rsidRDefault="00DA574C">
      <w:pPr>
        <w:rPr>
          <w:lang w:val="pl-PL"/>
        </w:rPr>
      </w:pPr>
      <w:r>
        <w:rPr>
          <w:lang w:val="pl-PL"/>
        </w:rPr>
        <w:t>Więcej informacji:</w:t>
      </w:r>
    </w:p>
    <w:p w14:paraId="70DE9027" w14:textId="77777777" w:rsidR="00A34A07" w:rsidRPr="00A34A07" w:rsidRDefault="00A34A07" w:rsidP="00A34A07">
      <w:pPr>
        <w:spacing w:after="0" w:line="240" w:lineRule="exact"/>
        <w:rPr>
          <w:rFonts w:ascii="Noto Sans" w:eastAsia="Cambria" w:hAnsi="Noto Sans" w:cs="Noto Sans"/>
          <w:b/>
          <w:bCs/>
          <w:noProof/>
          <w:color w:val="00AEEF"/>
          <w:kern w:val="0"/>
          <w:sz w:val="18"/>
          <w:szCs w:val="18"/>
          <w:lang w:val="pl-PL"/>
          <w14:ligatures w14:val="none"/>
        </w:rPr>
      </w:pPr>
      <w:bookmarkStart w:id="0" w:name="_MailAutoSig"/>
      <w:r w:rsidRPr="00A34A07">
        <w:rPr>
          <w:rFonts w:ascii="Noto Sans" w:eastAsia="Cambria" w:hAnsi="Noto Sans" w:cs="Noto Sans"/>
          <w:b/>
          <w:bCs/>
          <w:noProof/>
          <w:color w:val="00AEEF"/>
          <w:kern w:val="0"/>
          <w:sz w:val="18"/>
          <w:szCs w:val="18"/>
          <w:lang w:val="pl-PL"/>
          <w14:ligatures w14:val="none"/>
        </w:rPr>
        <w:t>dr Monika Kacprzak</w:t>
      </w:r>
    </w:p>
    <w:p w14:paraId="254D1D22" w14:textId="77777777" w:rsidR="00A34A07" w:rsidRPr="00A34A07" w:rsidRDefault="00A34A07" w:rsidP="00A34A07">
      <w:pPr>
        <w:spacing w:after="0" w:line="220" w:lineRule="exact"/>
        <w:rPr>
          <w:rFonts w:ascii="Noto Sans" w:eastAsia="Cambria" w:hAnsi="Noto Sans" w:cs="Noto Sans"/>
          <w:noProof/>
          <w:kern w:val="0"/>
          <w:sz w:val="18"/>
          <w:szCs w:val="18"/>
          <w:lang w:val="pl-PL"/>
          <w14:ligatures w14:val="none"/>
        </w:rPr>
      </w:pPr>
      <w:r w:rsidRPr="00A34A07">
        <w:rPr>
          <w:rFonts w:ascii="Noto Sans" w:eastAsia="Cambria" w:hAnsi="Noto Sans" w:cs="Noto Sans"/>
          <w:noProof/>
          <w:kern w:val="0"/>
          <w:sz w:val="18"/>
          <w:szCs w:val="18"/>
          <w:lang w:val="pl-PL"/>
          <w14:ligatures w14:val="none"/>
        </w:rPr>
        <w:t xml:space="preserve">Szefowa Działu Komunikacji </w:t>
      </w:r>
    </w:p>
    <w:p w14:paraId="1A6369A9" w14:textId="77777777" w:rsidR="00A34A07" w:rsidRPr="00A34A07" w:rsidRDefault="00A34A07" w:rsidP="00A34A07">
      <w:pPr>
        <w:spacing w:after="0" w:line="220" w:lineRule="exact"/>
        <w:rPr>
          <w:rFonts w:ascii="Noto Sans" w:eastAsia="Cambria" w:hAnsi="Noto Sans" w:cs="Noto Sans"/>
          <w:noProof/>
          <w:kern w:val="0"/>
          <w:sz w:val="18"/>
          <w:szCs w:val="18"/>
          <w:lang w:val="pl-PL"/>
          <w14:ligatures w14:val="none"/>
        </w:rPr>
      </w:pPr>
      <w:r w:rsidRPr="00A34A07">
        <w:rPr>
          <w:rFonts w:ascii="Noto Sans" w:eastAsia="Cambria" w:hAnsi="Noto Sans" w:cs="Noto Sans"/>
          <w:noProof/>
          <w:kern w:val="0"/>
          <w:sz w:val="18"/>
          <w:szCs w:val="18"/>
          <w:lang w:val="pl-PL"/>
          <w14:ligatures w14:val="none"/>
        </w:rPr>
        <w:t xml:space="preserve">Biuro UNICEF ds. Reagowania na Potrzeby Uchodźców w Polsce </w:t>
      </w:r>
      <w:r w:rsidRPr="00A34A07">
        <w:rPr>
          <w:rFonts w:ascii="Noto Sans" w:eastAsia="Cambria" w:hAnsi="Noto Sans" w:cs="Noto Sans"/>
          <w:noProof/>
          <w:color w:val="00B0F0"/>
          <w:kern w:val="0"/>
          <w:sz w:val="18"/>
          <w:szCs w:val="18"/>
          <w:lang w:val="pl-PL"/>
          <w14:ligatures w14:val="none"/>
        </w:rPr>
        <w:t>|</w:t>
      </w:r>
      <w:r w:rsidRPr="00A34A07">
        <w:rPr>
          <w:rFonts w:ascii="Noto Sans" w:eastAsia="Cambria" w:hAnsi="Noto Sans" w:cs="Noto Sans"/>
          <w:noProof/>
          <w:kern w:val="0"/>
          <w:sz w:val="18"/>
          <w:szCs w:val="18"/>
          <w:lang w:val="pl-PL"/>
          <w14:ligatures w14:val="none"/>
        </w:rPr>
        <w:t xml:space="preserve"> Towarowa 25A, 00-869 Warszawa</w:t>
      </w:r>
    </w:p>
    <w:p w14:paraId="72D936BB" w14:textId="77777777" w:rsidR="00A34A07" w:rsidRPr="00A34A07" w:rsidRDefault="00A34A07" w:rsidP="00A34A07">
      <w:pPr>
        <w:spacing w:after="0" w:line="220" w:lineRule="exact"/>
        <w:rPr>
          <w:rFonts w:ascii="Noto Sans" w:eastAsia="Cambria" w:hAnsi="Noto Sans" w:cs="Noto Sans"/>
          <w:noProof/>
          <w:kern w:val="0"/>
          <w:sz w:val="18"/>
          <w:szCs w:val="18"/>
          <w:lang w:val="pl-PL"/>
          <w14:ligatures w14:val="none"/>
        </w:rPr>
      </w:pPr>
      <w:r w:rsidRPr="00A34A07">
        <w:rPr>
          <w:rFonts w:ascii="Noto Sans" w:eastAsia="Cambria" w:hAnsi="Noto Sans" w:cs="Noto Sans"/>
          <w:noProof/>
          <w:kern w:val="0"/>
          <w:sz w:val="18"/>
          <w:szCs w:val="18"/>
          <w:lang w:val="pl-PL"/>
          <w14:ligatures w14:val="none"/>
        </w:rPr>
        <w:t>Telefon: +48 604-226-866  </w:t>
      </w:r>
    </w:p>
    <w:p w14:paraId="1215A8EF" w14:textId="77777777" w:rsidR="00A34A07" w:rsidRPr="00A34A07" w:rsidRDefault="00A34A07" w:rsidP="00A34A07">
      <w:pPr>
        <w:spacing w:after="0" w:line="220" w:lineRule="exact"/>
        <w:rPr>
          <w:rFonts w:ascii="Noto Sans" w:eastAsia="Cambria" w:hAnsi="Noto Sans" w:cs="Noto Sans"/>
          <w:noProof/>
          <w:kern w:val="0"/>
          <w:sz w:val="18"/>
          <w:szCs w:val="18"/>
          <w:lang w:val="pl-PL"/>
          <w14:ligatures w14:val="none"/>
        </w:rPr>
      </w:pPr>
      <w:r w:rsidRPr="00A34A07">
        <w:rPr>
          <w:rFonts w:ascii="Noto Sans" w:eastAsia="Cambria" w:hAnsi="Noto Sans" w:cs="Noto Sans"/>
          <w:noProof/>
          <w:kern w:val="0"/>
          <w:sz w:val="18"/>
          <w:szCs w:val="18"/>
          <w:lang w:val="pl-PL"/>
          <w14:ligatures w14:val="none"/>
        </w:rPr>
        <w:t xml:space="preserve">Znajdź nas na </w:t>
      </w:r>
      <w:hyperlink r:id="rId5" w:history="1">
        <w:r w:rsidRPr="00A34A07">
          <w:rPr>
            <w:rFonts w:ascii="Noto Sans" w:eastAsia="MS Mincho" w:hAnsi="Noto Sans" w:cs="Noto Sans"/>
            <w:noProof/>
            <w:color w:val="00AEEF"/>
            <w:kern w:val="0"/>
            <w:sz w:val="18"/>
            <w:szCs w:val="18"/>
            <w:u w:val="single"/>
            <w:lang w:val="pl-PL"/>
            <w14:ligatures w14:val="none"/>
          </w:rPr>
          <w:t>Facebook</w:t>
        </w:r>
      </w:hyperlink>
      <w:r w:rsidRPr="00A34A07">
        <w:rPr>
          <w:rFonts w:ascii="Noto Sans" w:eastAsia="MS Mincho" w:hAnsi="Noto Sans" w:cs="Noto Sans"/>
          <w:noProof/>
          <w:color w:val="00AEEF"/>
          <w:kern w:val="0"/>
          <w:sz w:val="18"/>
          <w:szCs w:val="18"/>
          <w:lang w:val="pl-PL"/>
          <w14:ligatures w14:val="none"/>
        </w:rPr>
        <w:t xml:space="preserve">, </w:t>
      </w:r>
      <w:hyperlink r:id="rId6" w:history="1">
        <w:r w:rsidRPr="00A34A07">
          <w:rPr>
            <w:rFonts w:ascii="Noto Sans" w:eastAsia="MS Mincho" w:hAnsi="Noto Sans" w:cs="Noto Sans"/>
            <w:noProof/>
            <w:color w:val="00AEEF"/>
            <w:kern w:val="0"/>
            <w:sz w:val="18"/>
            <w:szCs w:val="18"/>
            <w:u w:val="single"/>
            <w:lang w:val="pl-PL"/>
            <w14:ligatures w14:val="none"/>
          </w:rPr>
          <w:t>Instagram</w:t>
        </w:r>
      </w:hyperlink>
      <w:r w:rsidRPr="00A34A07">
        <w:rPr>
          <w:rFonts w:ascii="Noto Sans" w:eastAsia="MS Mincho" w:hAnsi="Noto Sans" w:cs="Noto Sans"/>
          <w:noProof/>
          <w:color w:val="00AEEF"/>
          <w:kern w:val="0"/>
          <w:sz w:val="18"/>
          <w:szCs w:val="18"/>
          <w:lang w:val="pl-PL"/>
          <w14:ligatures w14:val="none"/>
        </w:rPr>
        <w:t xml:space="preserve">, </w:t>
      </w:r>
      <w:hyperlink r:id="rId7" w:history="1">
        <w:r w:rsidRPr="00A34A07">
          <w:rPr>
            <w:rFonts w:ascii="Noto Sans" w:eastAsia="MS Mincho" w:hAnsi="Noto Sans" w:cs="Noto Sans"/>
            <w:noProof/>
            <w:color w:val="00AEEF"/>
            <w:kern w:val="0"/>
            <w:sz w:val="18"/>
            <w:szCs w:val="18"/>
            <w:u w:val="single"/>
            <w:lang w:val="pl-PL"/>
            <w14:ligatures w14:val="none"/>
          </w:rPr>
          <w:t>X</w:t>
        </w:r>
      </w:hyperlink>
      <w:r w:rsidRPr="00A34A07">
        <w:rPr>
          <w:rFonts w:ascii="Noto Sans" w:eastAsia="MS Mincho" w:hAnsi="Noto Sans" w:cs="Noto Sans"/>
          <w:noProof/>
          <w:color w:val="00AEEF"/>
          <w:kern w:val="0"/>
          <w:sz w:val="18"/>
          <w:szCs w:val="18"/>
          <w:lang w:val="pl-PL"/>
          <w14:ligatures w14:val="none"/>
        </w:rPr>
        <w:t xml:space="preserve">, </w:t>
      </w:r>
      <w:hyperlink r:id="rId8" w:history="1">
        <w:r w:rsidRPr="00A34A07">
          <w:rPr>
            <w:rFonts w:ascii="Noto Sans" w:eastAsia="MS Mincho" w:hAnsi="Noto Sans" w:cs="Noto Sans"/>
            <w:noProof/>
            <w:color w:val="00AEEF"/>
            <w:kern w:val="0"/>
            <w:sz w:val="18"/>
            <w:szCs w:val="18"/>
            <w:u w:val="single"/>
            <w:lang w:val="pl-PL"/>
            <w14:ligatures w14:val="none"/>
          </w:rPr>
          <w:t>LinkedIn</w:t>
        </w:r>
      </w:hyperlink>
      <w:r w:rsidRPr="00A34A07">
        <w:rPr>
          <w:rFonts w:ascii="Noto Sans" w:eastAsia="MS Mincho" w:hAnsi="Noto Sans" w:cs="Noto Sans"/>
          <w:noProof/>
          <w:color w:val="00AEEF"/>
          <w:kern w:val="0"/>
          <w:sz w:val="18"/>
          <w:szCs w:val="18"/>
          <w:lang w:val="pl-PL"/>
          <w14:ligatures w14:val="none"/>
        </w:rPr>
        <w:t xml:space="preserve">, </w:t>
      </w:r>
      <w:hyperlink r:id="rId9" w:history="1">
        <w:r w:rsidRPr="00A34A07">
          <w:rPr>
            <w:rFonts w:ascii="Noto Sans" w:eastAsia="MS Mincho" w:hAnsi="Noto Sans" w:cs="Noto Sans"/>
            <w:noProof/>
            <w:color w:val="00AEEF"/>
            <w:kern w:val="0"/>
            <w:sz w:val="18"/>
            <w:szCs w:val="18"/>
            <w:u w:val="single"/>
            <w:lang w:val="pl-PL"/>
            <w14:ligatures w14:val="none"/>
          </w:rPr>
          <w:t>unicef.org/eca/poland</w:t>
        </w:r>
      </w:hyperlink>
    </w:p>
    <w:p w14:paraId="63FE9C2F" w14:textId="77777777" w:rsidR="00A34A07" w:rsidRPr="00A34A07" w:rsidRDefault="00A34A07" w:rsidP="00A34A07">
      <w:pPr>
        <w:spacing w:after="0" w:line="220" w:lineRule="exact"/>
        <w:rPr>
          <w:rFonts w:ascii="Noto Sans" w:eastAsia="Cambria" w:hAnsi="Noto Sans" w:cs="Noto Sans"/>
          <w:noProof/>
          <w:kern w:val="0"/>
          <w:sz w:val="18"/>
          <w:szCs w:val="18"/>
          <w:lang w:val="pl-PL"/>
          <w14:ligatures w14:val="none"/>
        </w:rPr>
      </w:pPr>
      <w:r w:rsidRPr="00A34A07">
        <w:rPr>
          <w:rFonts w:ascii="Noto Sans" w:eastAsia="Cambria" w:hAnsi="Noto Sans" w:cs="Noto Sans"/>
          <w:noProof/>
          <w:kern w:val="0"/>
          <w:sz w:val="18"/>
          <w:szCs w:val="18"/>
          <w:lang w:val="pl-PL"/>
          <w14:ligatures w14:val="none"/>
        </w:rPr>
        <w:t>  </w:t>
      </w:r>
    </w:p>
    <w:p w14:paraId="39BA9C3A" w14:textId="77777777" w:rsidR="00A34A07" w:rsidRPr="00A34A07" w:rsidRDefault="00A34A07" w:rsidP="00A34A07">
      <w:pPr>
        <w:spacing w:after="200" w:line="240" w:lineRule="exact"/>
        <w:rPr>
          <w:rFonts w:ascii="Noto Sans" w:eastAsia="Cambria" w:hAnsi="Noto Sans" w:cs="Noto Sans"/>
          <w:b/>
          <w:bCs/>
          <w:noProof/>
          <w:color w:val="00AEEF"/>
          <w:kern w:val="0"/>
          <w:sz w:val="16"/>
          <w:szCs w:val="16"/>
          <w:lang w:val="en-GB"/>
          <w14:ligatures w14:val="none"/>
        </w:rPr>
      </w:pPr>
      <w:r w:rsidRPr="00A34A07">
        <w:rPr>
          <w:rFonts w:ascii="Noto Sans" w:eastAsia="Cambria" w:hAnsi="Noto Sans" w:cs="Noto Sans"/>
          <w:b/>
          <w:bCs/>
          <w:noProof/>
          <w:color w:val="00AEEF"/>
          <w:kern w:val="0"/>
          <w:sz w:val="18"/>
          <w:szCs w:val="18"/>
          <w:lang w:val="en-GB"/>
          <w14:ligatures w14:val="none"/>
        </w:rPr>
        <w:t>dla każdego dziecka, przyszłość</w:t>
      </w:r>
    </w:p>
    <w:p w14:paraId="47083F27" w14:textId="77777777" w:rsidR="00A34A07" w:rsidRPr="00A34A07" w:rsidRDefault="00A34A07" w:rsidP="00A34A07">
      <w:pPr>
        <w:spacing w:after="120" w:line="220" w:lineRule="exact"/>
        <w:rPr>
          <w:rFonts w:ascii="Noto Sans" w:eastAsia="Cambria" w:hAnsi="Noto Sans" w:cs="Noto Sans"/>
          <w:noProof/>
          <w:color w:val="D9D9D9"/>
          <w:kern w:val="0"/>
          <w:sz w:val="18"/>
          <w:szCs w:val="18"/>
          <w:lang w:val="en-GB"/>
          <w14:ligatures w14:val="none"/>
        </w:rPr>
      </w:pPr>
      <w:r w:rsidRPr="00A34A07">
        <w:rPr>
          <w:rFonts w:ascii="Noto Sans" w:eastAsia="Cambria" w:hAnsi="Noto Sans" w:cs="Noto Sans"/>
          <w:noProof/>
          <w:color w:val="D9D9D9"/>
          <w:kern w:val="0"/>
          <w:sz w:val="18"/>
          <w:szCs w:val="18"/>
          <w:lang w:val="en-GB"/>
          <w14:ligatures w14:val="none"/>
        </w:rPr>
        <w:t>…………………………………………………………………………………</w:t>
      </w:r>
    </w:p>
    <w:p w14:paraId="226B8C18" w14:textId="77777777" w:rsidR="00A34A07" w:rsidRPr="00A34A07" w:rsidRDefault="00A34A07" w:rsidP="00A34A07">
      <w:pPr>
        <w:spacing w:after="0" w:line="276" w:lineRule="auto"/>
        <w:rPr>
          <w:rFonts w:ascii="Noto Sans" w:eastAsia="Cambria" w:hAnsi="Noto Sans" w:cs="Noto Sans"/>
          <w:noProof/>
          <w:kern w:val="0"/>
          <w:lang w:val="en-GB"/>
          <w14:ligatures w14:val="none"/>
        </w:rPr>
      </w:pPr>
      <w:r w:rsidRPr="00A34A07">
        <w:rPr>
          <w:rFonts w:ascii="Noto Sans" w:eastAsia="Cambria" w:hAnsi="Noto Sans" w:cs="Noto Sans"/>
          <w:noProof/>
          <w:kern w:val="0"/>
          <w:sz w:val="16"/>
          <w:lang w:val="en-GB"/>
        </w:rPr>
        <w:drawing>
          <wp:inline distT="0" distB="0" distL="0" distR="0" wp14:anchorId="12EA2ECB" wp14:editId="3D11CC75">
            <wp:extent cx="2730500" cy="355600"/>
            <wp:effectExtent l="0" t="0" r="0" b="6350"/>
            <wp:docPr id="4" name="Picture 1" descr="Title: UNICEF logo - Description: UNICEF for every child logo in horizontal format in cya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itle: UNICEF logo - Description: UNICEF for every child logo in horizontal format in cyan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A07">
        <w:rPr>
          <w:rFonts w:ascii="Noto Sans" w:eastAsia="Cambria" w:hAnsi="Noto Sans" w:cs="Noto Sans"/>
          <w:noProof/>
          <w:kern w:val="0"/>
          <w:sz w:val="18"/>
          <w:szCs w:val="18"/>
          <w:lang w:val="en-GB"/>
          <w14:ligatures w14:val="none"/>
        </w:rPr>
        <w:t>                  </w:t>
      </w:r>
      <w:bookmarkEnd w:id="0"/>
    </w:p>
    <w:p w14:paraId="2925194B" w14:textId="77777777" w:rsidR="00DA574C" w:rsidRPr="00EF4397" w:rsidRDefault="00DA574C">
      <w:pPr>
        <w:rPr>
          <w:lang w:val="pl-PL"/>
        </w:rPr>
      </w:pPr>
    </w:p>
    <w:sectPr w:rsidR="00DA574C" w:rsidRPr="00EF43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397"/>
    <w:rsid w:val="00331DF5"/>
    <w:rsid w:val="00572360"/>
    <w:rsid w:val="00A34A07"/>
    <w:rsid w:val="00AC7E1B"/>
    <w:rsid w:val="00DA574C"/>
    <w:rsid w:val="00E94554"/>
    <w:rsid w:val="00EF4397"/>
    <w:rsid w:val="00EF6775"/>
    <w:rsid w:val="00F04854"/>
    <w:rsid w:val="00FF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16B13"/>
  <w15:chartTrackingRefBased/>
  <w15:docId w15:val="{98936E0E-D4F8-4845-900C-0D504B46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4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3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3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43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43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43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43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43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43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43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43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43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4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3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4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3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3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3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3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3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3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39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34A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unicefecar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witter.com/UNICEF_EC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unicefecaro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facebook.com/unicefeca" TargetMode="External"/><Relationship Id="rId10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hyperlink" Target="http://www.unicef.org/eca/pol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UNICEF</Company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5</cp:revision>
  <dcterms:created xsi:type="dcterms:W3CDTF">2025-11-27T12:00:00Z</dcterms:created>
  <dcterms:modified xsi:type="dcterms:W3CDTF">2025-11-27T14:14:00Z</dcterms:modified>
</cp:coreProperties>
</file>