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F70B" w14:textId="77777777" w:rsidR="006B5A70" w:rsidRPr="002D27E3" w:rsidRDefault="006B5A70" w:rsidP="0093436C">
      <w:pPr>
        <w:spacing w:before="0" w:after="160" w:line="259" w:lineRule="auto"/>
        <w:rPr>
          <w:rFonts w:cs="Arial"/>
          <w:color w:val="auto"/>
          <w:sz w:val="22"/>
          <w:szCs w:val="22"/>
          <w:lang w:val="pl-PL"/>
        </w:rPr>
      </w:pPr>
    </w:p>
    <w:p w14:paraId="5FA7789E" w14:textId="00C15DF4" w:rsidR="00AA30A5" w:rsidRPr="009B41C6" w:rsidRDefault="002B3F44" w:rsidP="009F4E4D">
      <w:pPr>
        <w:jc w:val="right"/>
        <w:rPr>
          <w:rFonts w:cs="Arial"/>
          <w:i/>
          <w:iCs/>
          <w:lang w:val="pl-PL"/>
        </w:rPr>
      </w:pPr>
      <w:r>
        <w:rPr>
          <w:rFonts w:cs="Arial"/>
          <w:i/>
          <w:iCs/>
          <w:lang w:val="pl-PL"/>
        </w:rPr>
        <w:t>6</w:t>
      </w:r>
      <w:r w:rsidR="009E4C6C">
        <w:rPr>
          <w:rFonts w:cs="Arial"/>
          <w:i/>
          <w:iCs/>
          <w:lang w:val="pl-PL"/>
        </w:rPr>
        <w:t xml:space="preserve"> czerwca</w:t>
      </w:r>
      <w:r w:rsidR="0049712A" w:rsidRPr="009B41C6">
        <w:rPr>
          <w:rFonts w:cs="Arial"/>
          <w:i/>
          <w:iCs/>
          <w:lang w:val="pl-PL"/>
        </w:rPr>
        <w:t xml:space="preserve"> </w:t>
      </w:r>
      <w:r w:rsidR="00AA30A5" w:rsidRPr="009B41C6">
        <w:rPr>
          <w:rFonts w:cs="Arial"/>
          <w:i/>
          <w:iCs/>
          <w:lang w:val="pl-PL"/>
        </w:rPr>
        <w:t>202</w:t>
      </w:r>
      <w:r w:rsidR="0049712A" w:rsidRPr="009B41C6">
        <w:rPr>
          <w:rFonts w:cs="Arial"/>
          <w:i/>
          <w:iCs/>
          <w:lang w:val="pl-PL"/>
        </w:rPr>
        <w:t>5</w:t>
      </w:r>
      <w:r w:rsidR="00AA30A5" w:rsidRPr="009B41C6">
        <w:rPr>
          <w:rFonts w:cs="Arial"/>
          <w:i/>
          <w:iCs/>
          <w:lang w:val="pl-PL"/>
        </w:rPr>
        <w:t xml:space="preserve"> r. </w:t>
      </w:r>
    </w:p>
    <w:p w14:paraId="36CB2D53" w14:textId="602072DD" w:rsidR="00AA30A5" w:rsidRPr="009B41C6" w:rsidRDefault="00AA30A5" w:rsidP="0093436C">
      <w:pPr>
        <w:contextualSpacing/>
        <w:rPr>
          <w:rFonts w:cs="Arial"/>
          <w:b/>
          <w:bCs/>
          <w:sz w:val="24"/>
          <w:lang w:val="pl-PL"/>
        </w:rPr>
      </w:pPr>
      <w:r w:rsidRPr="009B41C6">
        <w:rPr>
          <w:rFonts w:cs="Arial"/>
          <w:b/>
          <w:bCs/>
          <w:sz w:val="24"/>
          <w:lang w:val="pl-PL"/>
        </w:rPr>
        <w:t>KOMENTARZ EKSPERTA</w:t>
      </w:r>
    </w:p>
    <w:p w14:paraId="2B96ABFC" w14:textId="77777777" w:rsidR="00AA30A5" w:rsidRPr="009B41C6" w:rsidRDefault="00AA30A5" w:rsidP="0093436C">
      <w:pPr>
        <w:rPr>
          <w:rFonts w:cs="Arial"/>
          <w:lang w:val="pl-PL"/>
        </w:rPr>
      </w:pPr>
    </w:p>
    <w:p w14:paraId="07F3AF30" w14:textId="710B6EC0" w:rsidR="00AA30A5" w:rsidRPr="009B41C6" w:rsidRDefault="00FB0C8B" w:rsidP="0093436C">
      <w:pPr>
        <w:rPr>
          <w:rFonts w:cs="Arial"/>
          <w:b/>
          <w:bCs/>
          <w:sz w:val="24"/>
          <w:szCs w:val="36"/>
          <w:lang w:val="pl-PL"/>
        </w:rPr>
      </w:pPr>
      <w:r>
        <w:rPr>
          <w:rFonts w:cs="Arial"/>
          <w:b/>
          <w:bCs/>
          <w:sz w:val="24"/>
          <w:lang w:val="pl-PL"/>
        </w:rPr>
        <w:t>Czy fundacja może zarabiać na kapitale żelaznym?</w:t>
      </w:r>
    </w:p>
    <w:p w14:paraId="0D58ACD4" w14:textId="77777777" w:rsidR="00596C01" w:rsidRPr="009B41C6" w:rsidRDefault="00596C01" w:rsidP="0093436C">
      <w:pPr>
        <w:pStyle w:val="Tre"/>
        <w:jc w:val="both"/>
        <w:rPr>
          <w:rFonts w:ascii="Arial" w:hAnsi="Arial" w:cs="Arial"/>
          <w:b/>
          <w:bCs/>
        </w:rPr>
      </w:pPr>
    </w:p>
    <w:p w14:paraId="646C19F9" w14:textId="2DE337DB" w:rsidR="001842A1" w:rsidRPr="00934E84" w:rsidRDefault="006D1E05" w:rsidP="001842A1">
      <w:pPr>
        <w:pStyle w:val="Tr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FB0C8B" w:rsidRPr="00934E84">
        <w:rPr>
          <w:rFonts w:ascii="Arial" w:hAnsi="Arial" w:cs="Arial"/>
          <w:b/>
          <w:bCs/>
        </w:rPr>
        <w:t>rganizacje pożytku publicznego (OPP)</w:t>
      </w:r>
      <w:r w:rsidR="001842A1" w:rsidRPr="00934E84">
        <w:rPr>
          <w:rFonts w:ascii="Arial" w:hAnsi="Arial" w:cs="Arial"/>
          <w:b/>
          <w:bCs/>
        </w:rPr>
        <w:t xml:space="preserve"> charakteryzuje raczej defensywne i konserwatywne podejście do inwestycji</w:t>
      </w:r>
      <w:r w:rsidR="00D303D0" w:rsidRPr="00934E84">
        <w:rPr>
          <w:rFonts w:ascii="Arial" w:hAnsi="Arial" w:cs="Arial"/>
          <w:b/>
          <w:bCs/>
        </w:rPr>
        <w:t xml:space="preserve"> </w:t>
      </w:r>
      <w:r w:rsidR="0009596F">
        <w:rPr>
          <w:rFonts w:ascii="Arial" w:hAnsi="Arial" w:cs="Arial"/>
          <w:b/>
          <w:bCs/>
        </w:rPr>
        <w:t>–</w:t>
      </w:r>
      <w:r w:rsidR="00D303D0" w:rsidRPr="00934E84">
        <w:rPr>
          <w:rFonts w:ascii="Arial" w:hAnsi="Arial" w:cs="Arial"/>
          <w:b/>
          <w:bCs/>
        </w:rPr>
        <w:t xml:space="preserve"> </w:t>
      </w:r>
      <w:r w:rsidR="0009596F">
        <w:rPr>
          <w:rFonts w:ascii="Arial" w:hAnsi="Arial" w:cs="Arial"/>
          <w:b/>
          <w:bCs/>
        </w:rPr>
        <w:t xml:space="preserve">najczęściej lokują </w:t>
      </w:r>
      <w:r>
        <w:rPr>
          <w:rFonts w:ascii="Arial" w:hAnsi="Arial" w:cs="Arial"/>
          <w:b/>
          <w:bCs/>
        </w:rPr>
        <w:t xml:space="preserve">one </w:t>
      </w:r>
      <w:r w:rsidR="0009596F">
        <w:rPr>
          <w:rFonts w:ascii="Arial" w:hAnsi="Arial" w:cs="Arial"/>
          <w:b/>
          <w:bCs/>
        </w:rPr>
        <w:t xml:space="preserve">środki w </w:t>
      </w:r>
      <w:r w:rsidR="001842A1" w:rsidRPr="00934E84">
        <w:rPr>
          <w:rFonts w:ascii="Arial" w:hAnsi="Arial" w:cs="Arial"/>
          <w:b/>
          <w:bCs/>
        </w:rPr>
        <w:t>obligacje skarbowe</w:t>
      </w:r>
      <w:r w:rsidR="00D303D0" w:rsidRPr="00934E84">
        <w:rPr>
          <w:rFonts w:ascii="Arial" w:hAnsi="Arial" w:cs="Arial"/>
          <w:b/>
          <w:bCs/>
        </w:rPr>
        <w:t xml:space="preserve">, </w:t>
      </w:r>
      <w:r w:rsidR="001842A1" w:rsidRPr="00934E84">
        <w:rPr>
          <w:rFonts w:ascii="Arial" w:hAnsi="Arial" w:cs="Arial"/>
          <w:b/>
          <w:bCs/>
        </w:rPr>
        <w:t>lokaty i depozyty bankowe</w:t>
      </w:r>
      <w:r w:rsidR="00BC0B73" w:rsidRPr="00934E84">
        <w:rPr>
          <w:rFonts w:ascii="Arial" w:hAnsi="Arial" w:cs="Arial"/>
          <w:b/>
          <w:bCs/>
        </w:rPr>
        <w:t>.</w:t>
      </w:r>
      <w:r w:rsidR="00BC0B73">
        <w:rPr>
          <w:rFonts w:ascii="Arial" w:hAnsi="Arial" w:cs="Arial"/>
          <w:b/>
          <w:bCs/>
        </w:rPr>
        <w:t xml:space="preserve"> </w:t>
      </w:r>
      <w:r w:rsidR="001842A1" w:rsidRPr="00934E84">
        <w:rPr>
          <w:rFonts w:ascii="Arial" w:hAnsi="Arial" w:cs="Arial"/>
          <w:b/>
          <w:bCs/>
        </w:rPr>
        <w:t xml:space="preserve">Nie ma jednak przeszkód </w:t>
      </w:r>
      <w:r w:rsidR="004D5894" w:rsidRPr="00934E84">
        <w:rPr>
          <w:rFonts w:ascii="Arial" w:hAnsi="Arial" w:cs="Arial"/>
          <w:b/>
          <w:bCs/>
        </w:rPr>
        <w:t xml:space="preserve">- </w:t>
      </w:r>
      <w:r w:rsidR="001842A1" w:rsidRPr="00934E84">
        <w:rPr>
          <w:rFonts w:ascii="Arial" w:hAnsi="Arial" w:cs="Arial"/>
          <w:b/>
          <w:bCs/>
        </w:rPr>
        <w:t xml:space="preserve">o ile </w:t>
      </w:r>
      <w:r w:rsidR="004D5894" w:rsidRPr="00934E84">
        <w:rPr>
          <w:rFonts w:ascii="Arial" w:hAnsi="Arial" w:cs="Arial"/>
          <w:b/>
          <w:bCs/>
        </w:rPr>
        <w:t xml:space="preserve">nie zabraniają tego </w:t>
      </w:r>
      <w:r w:rsidR="001842A1" w:rsidRPr="00934E84">
        <w:rPr>
          <w:rFonts w:ascii="Arial" w:hAnsi="Arial" w:cs="Arial"/>
          <w:b/>
          <w:bCs/>
        </w:rPr>
        <w:t>wewnętrzne regulacje</w:t>
      </w:r>
      <w:r w:rsidR="004D5894" w:rsidRPr="00934E84">
        <w:rPr>
          <w:rFonts w:ascii="Arial" w:hAnsi="Arial" w:cs="Arial"/>
          <w:b/>
          <w:bCs/>
        </w:rPr>
        <w:t xml:space="preserve"> czy </w:t>
      </w:r>
      <w:r w:rsidR="001842A1" w:rsidRPr="00934E84">
        <w:rPr>
          <w:rFonts w:ascii="Arial" w:hAnsi="Arial" w:cs="Arial"/>
          <w:b/>
          <w:bCs/>
        </w:rPr>
        <w:t xml:space="preserve">statut </w:t>
      </w:r>
      <w:r w:rsidR="004D5894" w:rsidRPr="00934E84">
        <w:rPr>
          <w:rFonts w:ascii="Arial" w:hAnsi="Arial" w:cs="Arial"/>
          <w:b/>
          <w:bCs/>
        </w:rPr>
        <w:t>-</w:t>
      </w:r>
      <w:r w:rsidR="001842A1" w:rsidRPr="00934E84">
        <w:rPr>
          <w:rFonts w:ascii="Arial" w:hAnsi="Arial" w:cs="Arial"/>
          <w:b/>
          <w:bCs/>
        </w:rPr>
        <w:t xml:space="preserve"> aby </w:t>
      </w:r>
      <w:r w:rsidR="004D5894" w:rsidRPr="00934E84">
        <w:rPr>
          <w:rFonts w:ascii="Arial" w:hAnsi="Arial" w:cs="Arial"/>
          <w:b/>
          <w:bCs/>
        </w:rPr>
        <w:t>te</w:t>
      </w:r>
      <w:r w:rsidR="001842A1" w:rsidRPr="00934E84">
        <w:rPr>
          <w:rFonts w:ascii="Arial" w:hAnsi="Arial" w:cs="Arial"/>
          <w:b/>
          <w:bCs/>
        </w:rPr>
        <w:t xml:space="preserve"> organizacje inwestowały również w inne klasy aktywów.</w:t>
      </w:r>
    </w:p>
    <w:p w14:paraId="222D4A16" w14:textId="77777777" w:rsidR="001842A1" w:rsidRPr="00BE068D" w:rsidRDefault="001842A1" w:rsidP="001842A1">
      <w:pPr>
        <w:pStyle w:val="Tre"/>
        <w:rPr>
          <w:rFonts w:ascii="Arial" w:hAnsi="Arial" w:cs="Arial"/>
        </w:rPr>
      </w:pPr>
    </w:p>
    <w:p w14:paraId="681DAB4E" w14:textId="77777777" w:rsidR="00FC5173" w:rsidRDefault="001842A1" w:rsidP="001842A1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>Największe organizacje o aktywach przekraczających 100 milionów złotych</w:t>
      </w:r>
      <w:r>
        <w:rPr>
          <w:rFonts w:ascii="Arial" w:hAnsi="Arial" w:cs="Arial"/>
        </w:rPr>
        <w:t xml:space="preserve"> </w:t>
      </w:r>
      <w:r w:rsidRPr="00BE068D">
        <w:rPr>
          <w:rFonts w:ascii="Arial" w:hAnsi="Arial" w:cs="Arial"/>
        </w:rPr>
        <w:t>(których jest relatywnie niewiele)</w:t>
      </w:r>
      <w:r>
        <w:rPr>
          <w:rFonts w:ascii="Arial" w:hAnsi="Arial" w:cs="Arial"/>
        </w:rPr>
        <w:t>,</w:t>
      </w:r>
      <w:r w:rsidRPr="00BE068D">
        <w:rPr>
          <w:rFonts w:ascii="Arial" w:hAnsi="Arial" w:cs="Arial"/>
        </w:rPr>
        <w:t xml:space="preserve"> najczęściej </w:t>
      </w:r>
      <w:r>
        <w:rPr>
          <w:rFonts w:ascii="Arial" w:hAnsi="Arial" w:cs="Arial"/>
        </w:rPr>
        <w:t>mają</w:t>
      </w:r>
      <w:r w:rsidRPr="00BE068D">
        <w:rPr>
          <w:rFonts w:ascii="Arial" w:hAnsi="Arial" w:cs="Arial"/>
        </w:rPr>
        <w:t xml:space="preserve"> dużą świadomość inwestycyjno-finansową i budują długoterminowe strategie inwestycyjne. Punktem wyjścia jest tak zwany kapitał żelazny – czyli środki gromadzone i akumulowane w celach inwestycyjnych, </w:t>
      </w:r>
      <w:r w:rsidR="006D2507">
        <w:rPr>
          <w:rFonts w:ascii="Arial" w:hAnsi="Arial" w:cs="Arial"/>
        </w:rPr>
        <w:t xml:space="preserve">tak </w:t>
      </w:r>
      <w:r w:rsidRPr="00BE068D">
        <w:rPr>
          <w:rFonts w:ascii="Arial" w:hAnsi="Arial" w:cs="Arial"/>
        </w:rPr>
        <w:t>aby dochody z zainwestowanego kapitału pozwalały na bieżące funkcjonowanie organizacji i realizację jej celów statutowych.</w:t>
      </w:r>
    </w:p>
    <w:p w14:paraId="7AE92BD1" w14:textId="77777777" w:rsidR="00FC5173" w:rsidRDefault="00FC5173" w:rsidP="001842A1">
      <w:pPr>
        <w:pStyle w:val="Tre"/>
        <w:rPr>
          <w:rFonts w:ascii="Arial" w:hAnsi="Arial" w:cs="Arial"/>
        </w:rPr>
      </w:pPr>
    </w:p>
    <w:p w14:paraId="5F987471" w14:textId="6304F91C" w:rsidR="00FC5173" w:rsidRPr="007C1610" w:rsidRDefault="008D664C" w:rsidP="00FC5173">
      <w:pPr>
        <w:pStyle w:val="Tr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Usługa zarządzania aktywami</w:t>
      </w:r>
      <w:r w:rsidR="00FC5173" w:rsidRPr="007C1610">
        <w:rPr>
          <w:rFonts w:ascii="Arial" w:hAnsi="Arial" w:cs="Arial"/>
          <w:b/>
          <w:bCs/>
        </w:rPr>
        <w:t xml:space="preserve"> </w:t>
      </w:r>
      <w:r w:rsidR="00D36B0D">
        <w:rPr>
          <w:rFonts w:ascii="Arial" w:hAnsi="Arial" w:cs="Arial"/>
          <w:b/>
          <w:bCs/>
        </w:rPr>
        <w:t>może okazać się</w:t>
      </w:r>
      <w:r w:rsidR="00FC5173" w:rsidRPr="007C1610">
        <w:rPr>
          <w:rFonts w:ascii="Arial" w:hAnsi="Arial" w:cs="Arial"/>
          <w:b/>
          <w:bCs/>
        </w:rPr>
        <w:t xml:space="preserve"> tańsz</w:t>
      </w:r>
      <w:r>
        <w:rPr>
          <w:rFonts w:ascii="Arial" w:hAnsi="Arial" w:cs="Arial"/>
          <w:b/>
          <w:bCs/>
        </w:rPr>
        <w:t>a</w:t>
      </w:r>
      <w:r w:rsidR="00D36B0D">
        <w:rPr>
          <w:rFonts w:ascii="Arial" w:hAnsi="Arial" w:cs="Arial"/>
          <w:b/>
          <w:bCs/>
        </w:rPr>
        <w:t xml:space="preserve"> </w:t>
      </w:r>
    </w:p>
    <w:p w14:paraId="33C98D03" w14:textId="77777777" w:rsidR="00FC5173" w:rsidRDefault="00FC5173" w:rsidP="001842A1">
      <w:pPr>
        <w:pStyle w:val="Tre"/>
        <w:rPr>
          <w:rFonts w:ascii="Arial" w:hAnsi="Arial" w:cs="Arial"/>
        </w:rPr>
      </w:pPr>
    </w:p>
    <w:p w14:paraId="7113F548" w14:textId="6AB9BA2F" w:rsidR="001842A1" w:rsidRDefault="001842A1" w:rsidP="001842A1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>Analizując sprawozdania finansowe takich podmiotów często okazuje się, że większość aktywów zgromadzonych jest w inwestycjach krótko</w:t>
      </w:r>
      <w:r w:rsidR="000D351C">
        <w:rPr>
          <w:rFonts w:ascii="Arial" w:hAnsi="Arial" w:cs="Arial"/>
        </w:rPr>
        <w:t>-</w:t>
      </w:r>
      <w:r w:rsidRPr="00BE068D">
        <w:rPr>
          <w:rFonts w:ascii="Arial" w:hAnsi="Arial" w:cs="Arial"/>
        </w:rPr>
        <w:t xml:space="preserve"> i długoterminowych. Z wielu względów takie organizacje najczęściej decydują się </w:t>
      </w:r>
      <w:r w:rsidR="006D7E15">
        <w:rPr>
          <w:rFonts w:ascii="Arial" w:hAnsi="Arial" w:cs="Arial"/>
        </w:rPr>
        <w:t xml:space="preserve">na </w:t>
      </w:r>
      <w:r w:rsidRPr="00BE068D">
        <w:rPr>
          <w:rFonts w:ascii="Arial" w:hAnsi="Arial" w:cs="Arial"/>
        </w:rPr>
        <w:t>korzystanie z usługi zarządzania aktywami przez podmioty profesjonalne.</w:t>
      </w:r>
    </w:p>
    <w:p w14:paraId="25B5B4E2" w14:textId="77777777" w:rsidR="001842A1" w:rsidRDefault="001842A1" w:rsidP="001842A1">
      <w:pPr>
        <w:pStyle w:val="Tre"/>
        <w:rPr>
          <w:rFonts w:ascii="Arial" w:hAnsi="Arial" w:cs="Arial"/>
        </w:rPr>
      </w:pPr>
    </w:p>
    <w:p w14:paraId="0AE54A1B" w14:textId="525AC9EA" w:rsidR="00B5706B" w:rsidRDefault="00A67838" w:rsidP="001842A1">
      <w:pPr>
        <w:pStyle w:val="Tre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E068D">
        <w:rPr>
          <w:rFonts w:ascii="Arial" w:hAnsi="Arial" w:cs="Arial"/>
        </w:rPr>
        <w:t>owierzenie swoich środków profesjonalnemu podmiotowi</w:t>
      </w:r>
      <w:r w:rsidR="00A97DAA">
        <w:rPr>
          <w:rFonts w:ascii="Arial" w:hAnsi="Arial" w:cs="Arial"/>
        </w:rPr>
        <w:t>, który specjalizuje się w zarządzaniu aktywami, może być d</w:t>
      </w:r>
      <w:r w:rsidR="00A729A8" w:rsidRPr="00BE068D">
        <w:rPr>
          <w:rFonts w:ascii="Arial" w:hAnsi="Arial" w:cs="Arial"/>
        </w:rPr>
        <w:t xml:space="preserve">obrym pomysłem. Takie rozwiązanie </w:t>
      </w:r>
      <w:r w:rsidR="00A97DAA">
        <w:rPr>
          <w:rFonts w:ascii="Arial" w:hAnsi="Arial" w:cs="Arial"/>
        </w:rPr>
        <w:t>zwalnia</w:t>
      </w:r>
      <w:r w:rsidR="00A729A8" w:rsidRPr="00BE068D">
        <w:rPr>
          <w:rFonts w:ascii="Arial" w:hAnsi="Arial" w:cs="Arial"/>
        </w:rPr>
        <w:t xml:space="preserve"> organizację z konieczności podejmowania bezpośrednich decyzji inwestycyjnych i </w:t>
      </w:r>
      <w:r w:rsidR="00A97DAA">
        <w:rPr>
          <w:rFonts w:ascii="Arial" w:hAnsi="Arial" w:cs="Arial"/>
        </w:rPr>
        <w:t>pozwala</w:t>
      </w:r>
      <w:r w:rsidR="00A729A8" w:rsidRPr="00BE068D">
        <w:rPr>
          <w:rFonts w:ascii="Arial" w:hAnsi="Arial" w:cs="Arial"/>
        </w:rPr>
        <w:t xml:space="preserve"> skupić się na podstawowych celach OPP. Ponadto budowa portfela w sposób samodzielny wymaga specjalistycznych kompetencji</w:t>
      </w:r>
      <w:r w:rsidR="00943702">
        <w:rPr>
          <w:rFonts w:ascii="Arial" w:hAnsi="Arial" w:cs="Arial"/>
        </w:rPr>
        <w:t xml:space="preserve"> i</w:t>
      </w:r>
      <w:r w:rsidR="00A729A8" w:rsidRPr="00BE068D">
        <w:rPr>
          <w:rFonts w:ascii="Arial" w:hAnsi="Arial" w:cs="Arial"/>
        </w:rPr>
        <w:t xml:space="preserve"> może okazać się zdecydowanie </w:t>
      </w:r>
      <w:r w:rsidR="00943702">
        <w:rPr>
          <w:rFonts w:ascii="Arial" w:hAnsi="Arial" w:cs="Arial"/>
        </w:rPr>
        <w:t>droższa</w:t>
      </w:r>
      <w:r w:rsidR="00A729A8" w:rsidRPr="00BE068D">
        <w:rPr>
          <w:rFonts w:ascii="Arial" w:hAnsi="Arial" w:cs="Arial"/>
        </w:rPr>
        <w:t xml:space="preserve"> od opłaty pobieranej przez </w:t>
      </w:r>
      <w:proofErr w:type="spellStart"/>
      <w:r w:rsidR="00A729A8" w:rsidRPr="00BE068D">
        <w:rPr>
          <w:rFonts w:ascii="Arial" w:hAnsi="Arial" w:cs="Arial"/>
        </w:rPr>
        <w:t>Asset</w:t>
      </w:r>
      <w:proofErr w:type="spellEnd"/>
      <w:r w:rsidR="00A729A8" w:rsidRPr="00BE068D">
        <w:rPr>
          <w:rFonts w:ascii="Arial" w:hAnsi="Arial" w:cs="Arial"/>
        </w:rPr>
        <w:t xml:space="preserve"> Managera. </w:t>
      </w:r>
    </w:p>
    <w:p w14:paraId="49D9B283" w14:textId="77777777" w:rsidR="00A972F6" w:rsidRPr="00BE068D" w:rsidRDefault="00A972F6" w:rsidP="001842A1">
      <w:pPr>
        <w:pStyle w:val="Tre"/>
        <w:rPr>
          <w:rFonts w:ascii="Arial" w:hAnsi="Arial" w:cs="Arial"/>
        </w:rPr>
      </w:pPr>
    </w:p>
    <w:p w14:paraId="46E900F7" w14:textId="4C6FEE0A" w:rsidR="001842A1" w:rsidRDefault="001842A1" w:rsidP="001842A1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 xml:space="preserve">Istnieje jednak cały szereg </w:t>
      </w:r>
      <w:r w:rsidR="00A972F6">
        <w:rPr>
          <w:rFonts w:ascii="Arial" w:hAnsi="Arial" w:cs="Arial"/>
        </w:rPr>
        <w:t>f</w:t>
      </w:r>
      <w:r w:rsidRPr="00BE068D">
        <w:rPr>
          <w:rFonts w:ascii="Arial" w:hAnsi="Arial" w:cs="Arial"/>
        </w:rPr>
        <w:t xml:space="preserve">undacji i </w:t>
      </w:r>
      <w:r w:rsidR="00A972F6">
        <w:rPr>
          <w:rFonts w:ascii="Arial" w:hAnsi="Arial" w:cs="Arial"/>
        </w:rPr>
        <w:t>s</w:t>
      </w:r>
      <w:r w:rsidRPr="00BE068D">
        <w:rPr>
          <w:rFonts w:ascii="Arial" w:hAnsi="Arial" w:cs="Arial"/>
        </w:rPr>
        <w:t xml:space="preserve">towarzyszeń o mniejszej skali działalności, które nierzadko w bilansie </w:t>
      </w:r>
      <w:r w:rsidR="00A972F6">
        <w:rPr>
          <w:rFonts w:ascii="Arial" w:hAnsi="Arial" w:cs="Arial"/>
        </w:rPr>
        <w:t>wykazują</w:t>
      </w:r>
      <w:r w:rsidRPr="00BE068D">
        <w:rPr>
          <w:rFonts w:ascii="Arial" w:hAnsi="Arial" w:cs="Arial"/>
        </w:rPr>
        <w:t xml:space="preserve"> od kilku do kilkudziesięciu milionów złotych wolnej</w:t>
      </w:r>
      <w:r w:rsidR="00A972F6">
        <w:rPr>
          <w:rFonts w:ascii="Arial" w:hAnsi="Arial" w:cs="Arial"/>
        </w:rPr>
        <w:t>, niezainwestowanej</w:t>
      </w:r>
      <w:r w:rsidRPr="00BE068D">
        <w:rPr>
          <w:rFonts w:ascii="Arial" w:hAnsi="Arial" w:cs="Arial"/>
        </w:rPr>
        <w:t xml:space="preserve"> gotówki. </w:t>
      </w:r>
      <w:r w:rsidR="0037541E">
        <w:rPr>
          <w:rFonts w:ascii="Arial" w:hAnsi="Arial" w:cs="Arial"/>
        </w:rPr>
        <w:t xml:space="preserve">Niekiedy </w:t>
      </w:r>
      <w:r w:rsidR="003F0610">
        <w:rPr>
          <w:rFonts w:ascii="Arial" w:hAnsi="Arial" w:cs="Arial"/>
        </w:rPr>
        <w:t xml:space="preserve">nie podejmują one </w:t>
      </w:r>
      <w:r w:rsidR="00A972F6">
        <w:rPr>
          <w:rFonts w:ascii="Arial" w:hAnsi="Arial" w:cs="Arial"/>
        </w:rPr>
        <w:t xml:space="preserve">inwestycji w obawie przed </w:t>
      </w:r>
      <w:r w:rsidRPr="00BE068D">
        <w:rPr>
          <w:rFonts w:ascii="Arial" w:hAnsi="Arial" w:cs="Arial"/>
        </w:rPr>
        <w:t>poniesienie</w:t>
      </w:r>
      <w:r w:rsidR="00A972F6">
        <w:rPr>
          <w:rFonts w:ascii="Arial" w:hAnsi="Arial" w:cs="Arial"/>
        </w:rPr>
        <w:t>m</w:t>
      </w:r>
      <w:r w:rsidRPr="00BE068D">
        <w:rPr>
          <w:rFonts w:ascii="Arial" w:hAnsi="Arial" w:cs="Arial"/>
        </w:rPr>
        <w:t xml:space="preserve"> straty </w:t>
      </w:r>
      <w:r w:rsidR="00A972F6">
        <w:rPr>
          <w:rFonts w:ascii="Arial" w:hAnsi="Arial" w:cs="Arial"/>
        </w:rPr>
        <w:t xml:space="preserve">- </w:t>
      </w:r>
      <w:r w:rsidRPr="00BE068D">
        <w:rPr>
          <w:rFonts w:ascii="Arial" w:hAnsi="Arial" w:cs="Arial"/>
        </w:rPr>
        <w:t xml:space="preserve">i </w:t>
      </w:r>
      <w:r w:rsidR="00A972F6">
        <w:rPr>
          <w:rFonts w:ascii="Arial" w:hAnsi="Arial" w:cs="Arial"/>
        </w:rPr>
        <w:t>bywa</w:t>
      </w:r>
      <w:r w:rsidRPr="00BE068D">
        <w:rPr>
          <w:rFonts w:ascii="Arial" w:hAnsi="Arial" w:cs="Arial"/>
        </w:rPr>
        <w:t xml:space="preserve"> to dla nich dużo istotniejsz</w:t>
      </w:r>
      <w:r w:rsidR="00A972F6">
        <w:rPr>
          <w:rFonts w:ascii="Arial" w:hAnsi="Arial" w:cs="Arial"/>
        </w:rPr>
        <w:t>e</w:t>
      </w:r>
      <w:r w:rsidRPr="00BE068D">
        <w:rPr>
          <w:rFonts w:ascii="Arial" w:hAnsi="Arial" w:cs="Arial"/>
        </w:rPr>
        <w:t xml:space="preserve"> od potencjalnych zysków. Wydaje się, że właśnie w tym segmencie OPP jest największa przestrzeń do rozwoju w kontekście inwestycji – szczególne na dłużnym rynku papierów wartościowych. Do tego potrzebna jest jednak ciągła edukacja, wsparcie oraz budowa zaufania ze strony instytucji finansowych. </w:t>
      </w:r>
    </w:p>
    <w:p w14:paraId="09D8E011" w14:textId="77777777" w:rsidR="003467C4" w:rsidRDefault="003467C4" w:rsidP="001842A1">
      <w:pPr>
        <w:pStyle w:val="Tre"/>
        <w:rPr>
          <w:rFonts w:ascii="Arial" w:hAnsi="Arial" w:cs="Arial"/>
        </w:rPr>
      </w:pPr>
    </w:p>
    <w:p w14:paraId="69D46383" w14:textId="4A42067E" w:rsidR="003467C4" w:rsidRPr="00934E84" w:rsidRDefault="00902EAC" w:rsidP="001842A1">
      <w:pPr>
        <w:pStyle w:val="Tr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Najprostsze opcje inwestycyjne dla OPP</w:t>
      </w:r>
    </w:p>
    <w:p w14:paraId="0BF0FF38" w14:textId="77777777" w:rsidR="001842A1" w:rsidRDefault="001842A1" w:rsidP="00BE068D">
      <w:pPr>
        <w:pStyle w:val="Tre"/>
        <w:rPr>
          <w:rFonts w:ascii="Arial" w:hAnsi="Arial" w:cs="Arial"/>
        </w:rPr>
      </w:pPr>
    </w:p>
    <w:p w14:paraId="101D00D1" w14:textId="4E4A37A8" w:rsidR="00D5225B" w:rsidRDefault="00D5225B" w:rsidP="00D5225B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>Organizacje pożytku publicznego</w:t>
      </w:r>
      <w:r w:rsidR="003F0610">
        <w:rPr>
          <w:rFonts w:ascii="Arial" w:hAnsi="Arial" w:cs="Arial"/>
        </w:rPr>
        <w:t>,</w:t>
      </w:r>
      <w:r w:rsidRPr="00BE068D">
        <w:rPr>
          <w:rFonts w:ascii="Arial" w:hAnsi="Arial" w:cs="Arial"/>
        </w:rPr>
        <w:t xml:space="preserve"> podobnie jak osoby fizyczne czy firmy</w:t>
      </w:r>
      <w:r w:rsidR="003F0610">
        <w:rPr>
          <w:rFonts w:ascii="Arial" w:hAnsi="Arial" w:cs="Arial"/>
        </w:rPr>
        <w:t>,</w:t>
      </w:r>
      <w:r w:rsidRPr="00BE068D">
        <w:rPr>
          <w:rFonts w:ascii="Arial" w:hAnsi="Arial" w:cs="Arial"/>
        </w:rPr>
        <w:t xml:space="preserve"> mają szereg możliwości inwestycyjnych na rynku kapitałowym. Podstawowym rozwiązaniem są oczywiście konta oszczędnościowe oraz lokaty bankowe.</w:t>
      </w:r>
      <w:r w:rsidR="00D42EA9" w:rsidRPr="00D42EA9">
        <w:rPr>
          <w:rFonts w:ascii="Arial" w:hAnsi="Arial" w:cs="Arial"/>
        </w:rPr>
        <w:t xml:space="preserve"> </w:t>
      </w:r>
      <w:r w:rsidR="00D42EA9" w:rsidRPr="00BE068D">
        <w:rPr>
          <w:rFonts w:ascii="Arial" w:hAnsi="Arial" w:cs="Arial"/>
        </w:rPr>
        <w:t xml:space="preserve">W zależności od kwoty </w:t>
      </w:r>
      <w:r w:rsidR="00D42EA9">
        <w:rPr>
          <w:rFonts w:ascii="Arial" w:hAnsi="Arial" w:cs="Arial"/>
        </w:rPr>
        <w:t xml:space="preserve">i </w:t>
      </w:r>
      <w:r w:rsidR="00D42EA9" w:rsidRPr="00BE068D">
        <w:rPr>
          <w:rFonts w:ascii="Arial" w:hAnsi="Arial" w:cs="Arial"/>
        </w:rPr>
        <w:t>okres</w:t>
      </w:r>
      <w:r w:rsidR="00D42EA9">
        <w:rPr>
          <w:rFonts w:ascii="Arial" w:hAnsi="Arial" w:cs="Arial"/>
        </w:rPr>
        <w:t>u</w:t>
      </w:r>
      <w:r w:rsidR="00D42EA9" w:rsidRPr="00BE068D">
        <w:rPr>
          <w:rFonts w:ascii="Arial" w:hAnsi="Arial" w:cs="Arial"/>
        </w:rPr>
        <w:t xml:space="preserve"> inwestycji</w:t>
      </w:r>
      <w:r w:rsidR="00D42EA9">
        <w:rPr>
          <w:rFonts w:ascii="Arial" w:hAnsi="Arial" w:cs="Arial"/>
        </w:rPr>
        <w:t>,</w:t>
      </w:r>
      <w:r w:rsidR="00D42EA9" w:rsidRPr="00BE068D">
        <w:rPr>
          <w:rFonts w:ascii="Arial" w:hAnsi="Arial" w:cs="Arial"/>
        </w:rPr>
        <w:t xml:space="preserve"> oprocentowanie </w:t>
      </w:r>
      <w:r w:rsidR="00D42EA9">
        <w:rPr>
          <w:rFonts w:ascii="Arial" w:hAnsi="Arial" w:cs="Arial"/>
        </w:rPr>
        <w:t xml:space="preserve">może wahać się </w:t>
      </w:r>
      <w:r w:rsidR="00D42EA9" w:rsidRPr="00BE068D">
        <w:rPr>
          <w:rFonts w:ascii="Arial" w:hAnsi="Arial" w:cs="Arial"/>
        </w:rPr>
        <w:t>pomiędzy 4 a 5</w:t>
      </w:r>
      <w:r w:rsidR="00D42EA9">
        <w:rPr>
          <w:rFonts w:ascii="Arial" w:hAnsi="Arial" w:cs="Arial"/>
        </w:rPr>
        <w:t xml:space="preserve"> proc. Trzeba jednak podkreślić, </w:t>
      </w:r>
      <w:r w:rsidR="00D42EA9" w:rsidRPr="00934E84">
        <w:rPr>
          <w:rFonts w:ascii="Arial" w:hAnsi="Arial" w:cs="Arial"/>
        </w:rPr>
        <w:t xml:space="preserve">że pierwsza obniżka stóp procentowych w tym roku już miała miejsce, a kolejne są kwestią czasu. Takie otoczenie sprawia, że warunki oprocentowania lokat/obligacji będą systematycznie się pogarszać. </w:t>
      </w:r>
    </w:p>
    <w:p w14:paraId="67DE5DDE" w14:textId="291962BD" w:rsidR="00E00454" w:rsidRDefault="00D5225B" w:rsidP="00D5225B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>Drugim rozwiązaniem o niskim poziomie ryzyka mogą być obligacje skarbowe</w:t>
      </w:r>
      <w:r w:rsidR="00E00454">
        <w:rPr>
          <w:rFonts w:ascii="Arial" w:hAnsi="Arial" w:cs="Arial"/>
        </w:rPr>
        <w:t>. F</w:t>
      </w:r>
      <w:r w:rsidRPr="00BE068D">
        <w:rPr>
          <w:rFonts w:ascii="Arial" w:hAnsi="Arial" w:cs="Arial"/>
        </w:rPr>
        <w:t xml:space="preserve">undacje </w:t>
      </w:r>
      <w:r w:rsidR="00E00454">
        <w:rPr>
          <w:rFonts w:ascii="Arial" w:hAnsi="Arial" w:cs="Arial"/>
        </w:rPr>
        <w:t xml:space="preserve">i </w:t>
      </w:r>
      <w:r w:rsidRPr="00BE068D">
        <w:rPr>
          <w:rFonts w:ascii="Arial" w:hAnsi="Arial" w:cs="Arial"/>
        </w:rPr>
        <w:t xml:space="preserve"> stowarzyszenia, podobnie jak osoby fizyczne</w:t>
      </w:r>
      <w:r w:rsidR="00E00454">
        <w:rPr>
          <w:rFonts w:ascii="Arial" w:hAnsi="Arial" w:cs="Arial"/>
        </w:rPr>
        <w:t>,</w:t>
      </w:r>
      <w:r w:rsidRPr="00BE068D">
        <w:rPr>
          <w:rFonts w:ascii="Arial" w:hAnsi="Arial" w:cs="Arial"/>
        </w:rPr>
        <w:t xml:space="preserve"> mają możliwość </w:t>
      </w:r>
      <w:r w:rsidR="00E00454">
        <w:rPr>
          <w:rFonts w:ascii="Arial" w:hAnsi="Arial" w:cs="Arial"/>
        </w:rPr>
        <w:t>zakupu</w:t>
      </w:r>
      <w:r w:rsidRPr="00BE068D">
        <w:rPr>
          <w:rFonts w:ascii="Arial" w:hAnsi="Arial" w:cs="Arial"/>
        </w:rPr>
        <w:t xml:space="preserve"> detalicznych i </w:t>
      </w:r>
      <w:r w:rsidRPr="00BE068D">
        <w:rPr>
          <w:rFonts w:ascii="Arial" w:hAnsi="Arial" w:cs="Arial"/>
        </w:rPr>
        <w:lastRenderedPageBreak/>
        <w:t>hurtowych obligacji skarbowych. Wśród obligacji detalicznych mamy do wyboru sześć serii o terminach zapadalności od 3 miesięcy do 10 lat</w:t>
      </w:r>
      <w:r w:rsidR="00E00454">
        <w:rPr>
          <w:rFonts w:ascii="Arial" w:hAnsi="Arial" w:cs="Arial"/>
        </w:rPr>
        <w:t xml:space="preserve"> i</w:t>
      </w:r>
      <w:r w:rsidRPr="00BE068D">
        <w:rPr>
          <w:rFonts w:ascii="Arial" w:hAnsi="Arial" w:cs="Arial"/>
        </w:rPr>
        <w:t xml:space="preserve"> rentownoś</w:t>
      </w:r>
      <w:r w:rsidR="00E00454">
        <w:rPr>
          <w:rFonts w:ascii="Arial" w:hAnsi="Arial" w:cs="Arial"/>
        </w:rPr>
        <w:t>ci między</w:t>
      </w:r>
      <w:r w:rsidRPr="00BE068D">
        <w:rPr>
          <w:rFonts w:ascii="Arial" w:hAnsi="Arial" w:cs="Arial"/>
        </w:rPr>
        <w:t xml:space="preserve"> 3 </w:t>
      </w:r>
      <w:r w:rsidR="00E00454">
        <w:rPr>
          <w:rFonts w:ascii="Arial" w:hAnsi="Arial" w:cs="Arial"/>
        </w:rPr>
        <w:t>a</w:t>
      </w:r>
      <w:r w:rsidR="00E42DFA">
        <w:rPr>
          <w:rFonts w:ascii="Arial" w:hAnsi="Arial" w:cs="Arial"/>
        </w:rPr>
        <w:t xml:space="preserve"> około </w:t>
      </w:r>
      <w:r w:rsidRPr="00BE068D">
        <w:rPr>
          <w:rFonts w:ascii="Arial" w:hAnsi="Arial" w:cs="Arial"/>
        </w:rPr>
        <w:t>6 proc</w:t>
      </w:r>
      <w:r w:rsidR="00E42DFA">
        <w:rPr>
          <w:rFonts w:ascii="Arial" w:hAnsi="Arial" w:cs="Arial"/>
        </w:rPr>
        <w:t xml:space="preserve"> (w pierwszym roku)</w:t>
      </w:r>
      <w:r w:rsidRPr="00BE068D">
        <w:rPr>
          <w:rFonts w:ascii="Arial" w:hAnsi="Arial" w:cs="Arial"/>
        </w:rPr>
        <w:t>. Główną zaletą tego rozwiązania jest brak zmienności oraz możliwość wykupu tych obligacji na żądanie w dowolnym momencie trwania inwestycji.</w:t>
      </w:r>
    </w:p>
    <w:p w14:paraId="4BC4ABF5" w14:textId="77777777" w:rsidR="003467C4" w:rsidRDefault="003467C4" w:rsidP="00D5225B">
      <w:pPr>
        <w:pStyle w:val="Tre"/>
        <w:rPr>
          <w:rFonts w:ascii="Arial" w:hAnsi="Arial" w:cs="Arial"/>
        </w:rPr>
      </w:pPr>
    </w:p>
    <w:p w14:paraId="13100CEB" w14:textId="2F29D5D3" w:rsidR="00D5225B" w:rsidRDefault="003467C4" w:rsidP="00D5225B">
      <w:pPr>
        <w:pStyle w:val="Tre"/>
        <w:rPr>
          <w:rFonts w:ascii="Arial" w:hAnsi="Arial" w:cs="Arial"/>
        </w:rPr>
      </w:pPr>
      <w:r>
        <w:rPr>
          <w:rFonts w:ascii="Arial" w:hAnsi="Arial" w:cs="Arial"/>
        </w:rPr>
        <w:t>Z kolei</w:t>
      </w:r>
      <w:r w:rsidR="00E00454">
        <w:rPr>
          <w:rFonts w:ascii="Arial" w:hAnsi="Arial" w:cs="Arial"/>
        </w:rPr>
        <w:t xml:space="preserve"> </w:t>
      </w:r>
      <w:r w:rsidR="00D5225B" w:rsidRPr="00BE068D">
        <w:rPr>
          <w:rFonts w:ascii="Arial" w:hAnsi="Arial" w:cs="Arial"/>
        </w:rPr>
        <w:t>obligacj</w:t>
      </w:r>
      <w:r>
        <w:rPr>
          <w:rFonts w:ascii="Arial" w:hAnsi="Arial" w:cs="Arial"/>
        </w:rPr>
        <w:t>e</w:t>
      </w:r>
      <w:r w:rsidR="00D5225B" w:rsidRPr="00BE068D">
        <w:rPr>
          <w:rFonts w:ascii="Arial" w:hAnsi="Arial" w:cs="Arial"/>
        </w:rPr>
        <w:t xml:space="preserve"> hurtow</w:t>
      </w:r>
      <w:r>
        <w:rPr>
          <w:rFonts w:ascii="Arial" w:hAnsi="Arial" w:cs="Arial"/>
        </w:rPr>
        <w:t xml:space="preserve">e </w:t>
      </w:r>
      <w:r w:rsidR="00D5225B" w:rsidRPr="00BE068D">
        <w:rPr>
          <w:rFonts w:ascii="Arial" w:hAnsi="Arial" w:cs="Arial"/>
        </w:rPr>
        <w:t xml:space="preserve">można </w:t>
      </w:r>
      <w:r>
        <w:rPr>
          <w:rFonts w:ascii="Arial" w:hAnsi="Arial" w:cs="Arial"/>
        </w:rPr>
        <w:t>kupować</w:t>
      </w:r>
      <w:r w:rsidR="00D5225B" w:rsidRPr="00BE068D">
        <w:rPr>
          <w:rFonts w:ascii="Arial" w:hAnsi="Arial" w:cs="Arial"/>
        </w:rPr>
        <w:t xml:space="preserve"> na</w:t>
      </w:r>
      <w:r w:rsidR="0040451A">
        <w:rPr>
          <w:rFonts w:ascii="Arial" w:hAnsi="Arial" w:cs="Arial"/>
        </w:rPr>
        <w:t xml:space="preserve"> GPW na</w:t>
      </w:r>
      <w:r w:rsidR="00D5225B" w:rsidRPr="00BE068D">
        <w:rPr>
          <w:rFonts w:ascii="Arial" w:hAnsi="Arial" w:cs="Arial"/>
        </w:rPr>
        <w:t xml:space="preserve"> </w:t>
      </w:r>
      <w:proofErr w:type="spellStart"/>
      <w:r w:rsidR="00D5225B" w:rsidRPr="00BE068D">
        <w:rPr>
          <w:rFonts w:ascii="Arial" w:hAnsi="Arial" w:cs="Arial"/>
        </w:rPr>
        <w:t>Catalyst</w:t>
      </w:r>
      <w:proofErr w:type="spellEnd"/>
      <w:r w:rsidR="00AF2B66">
        <w:rPr>
          <w:rFonts w:ascii="Arial" w:hAnsi="Arial" w:cs="Arial"/>
        </w:rPr>
        <w:t xml:space="preserve"> lub</w:t>
      </w:r>
      <w:r w:rsidR="00D5225B" w:rsidRPr="00BE068D">
        <w:rPr>
          <w:rFonts w:ascii="Arial" w:hAnsi="Arial" w:cs="Arial"/>
        </w:rPr>
        <w:t xml:space="preserve"> na rynku pozagiełdowym. Tutaj obligacji do wyboru jest zdecydowanie więcej – kilkadziesiąt serii o terminach zapadalności od kilku miesięcy do nawet 15</w:t>
      </w:r>
      <w:r w:rsidR="00E00454">
        <w:rPr>
          <w:rFonts w:ascii="Arial" w:hAnsi="Arial" w:cs="Arial"/>
        </w:rPr>
        <w:t xml:space="preserve"> czy </w:t>
      </w:r>
      <w:r w:rsidR="00D5225B" w:rsidRPr="00BE068D">
        <w:rPr>
          <w:rFonts w:ascii="Arial" w:hAnsi="Arial" w:cs="Arial"/>
        </w:rPr>
        <w:t>20 lat. Do tego segmentu moglibyśmy również zaliczyć obligacje emitowane przez BGK, które posiadają gwarancję Skarbu Państwa. W przypadku tych obligacj</w:t>
      </w:r>
      <w:r w:rsidR="000C56AD">
        <w:rPr>
          <w:rFonts w:ascii="Arial" w:hAnsi="Arial" w:cs="Arial"/>
        </w:rPr>
        <w:t xml:space="preserve">i </w:t>
      </w:r>
      <w:r w:rsidR="00D5225B" w:rsidRPr="00BE068D">
        <w:rPr>
          <w:rFonts w:ascii="Arial" w:hAnsi="Arial" w:cs="Arial"/>
        </w:rPr>
        <w:t xml:space="preserve">rentowności mogą osiągać </w:t>
      </w:r>
      <w:r w:rsidR="000C56AD">
        <w:rPr>
          <w:rFonts w:ascii="Arial" w:hAnsi="Arial" w:cs="Arial"/>
        </w:rPr>
        <w:t xml:space="preserve">wysokość </w:t>
      </w:r>
      <w:r w:rsidR="00D5225B" w:rsidRPr="00BE068D">
        <w:rPr>
          <w:rFonts w:ascii="Arial" w:hAnsi="Arial" w:cs="Arial"/>
        </w:rPr>
        <w:t>do</w:t>
      </w:r>
      <w:r w:rsidR="00E42DFA">
        <w:rPr>
          <w:rFonts w:ascii="Arial" w:hAnsi="Arial" w:cs="Arial"/>
        </w:rPr>
        <w:t xml:space="preserve"> około</w:t>
      </w:r>
      <w:r w:rsidR="00D5225B" w:rsidRPr="00BE068D">
        <w:rPr>
          <w:rFonts w:ascii="Arial" w:hAnsi="Arial" w:cs="Arial"/>
        </w:rPr>
        <w:t xml:space="preserve"> 6 proc.</w:t>
      </w:r>
    </w:p>
    <w:p w14:paraId="3133A270" w14:textId="77777777" w:rsidR="00D5225B" w:rsidRDefault="00D5225B" w:rsidP="00BE068D">
      <w:pPr>
        <w:pStyle w:val="Tre"/>
        <w:rPr>
          <w:rFonts w:ascii="Arial" w:hAnsi="Arial" w:cs="Arial"/>
        </w:rPr>
      </w:pPr>
    </w:p>
    <w:p w14:paraId="53913F39" w14:textId="18903233" w:rsidR="00D5225B" w:rsidRPr="00934E84" w:rsidRDefault="005926D9" w:rsidP="00BE068D">
      <w:pPr>
        <w:pStyle w:val="Tre"/>
        <w:rPr>
          <w:rFonts w:ascii="Arial" w:hAnsi="Arial" w:cs="Arial"/>
          <w:b/>
          <w:bCs/>
        </w:rPr>
      </w:pPr>
      <w:r w:rsidRPr="00934E84">
        <w:rPr>
          <w:rFonts w:ascii="Arial" w:hAnsi="Arial" w:cs="Arial"/>
          <w:b/>
          <w:bCs/>
        </w:rPr>
        <w:t>Blisko 2 mld dla OPP w ubiegłym roku</w:t>
      </w:r>
    </w:p>
    <w:p w14:paraId="11C0AD9D" w14:textId="77777777" w:rsidR="00AF2B66" w:rsidRDefault="00AF2B66" w:rsidP="00BE068D">
      <w:pPr>
        <w:pStyle w:val="Tre"/>
        <w:rPr>
          <w:rFonts w:ascii="Arial" w:hAnsi="Arial" w:cs="Arial"/>
        </w:rPr>
      </w:pPr>
    </w:p>
    <w:p w14:paraId="453B3260" w14:textId="091A991E" w:rsidR="00BE068D" w:rsidRDefault="003A7B95" w:rsidP="00B07B24">
      <w:pPr>
        <w:pStyle w:val="Tre"/>
        <w:rPr>
          <w:rFonts w:ascii="Arial" w:hAnsi="Arial" w:cs="Arial"/>
        </w:rPr>
      </w:pPr>
      <w:r>
        <w:rPr>
          <w:rFonts w:ascii="Arial" w:hAnsi="Arial" w:cs="Arial"/>
        </w:rPr>
        <w:t>W Polsce działa ponad 9 tysięcy</w:t>
      </w:r>
      <w:r w:rsidR="00BE068D" w:rsidRPr="00BE068D">
        <w:rPr>
          <w:rFonts w:ascii="Arial" w:hAnsi="Arial" w:cs="Arial"/>
        </w:rPr>
        <w:t xml:space="preserve"> organizacji pożytku publicznego. Duża część z </w:t>
      </w:r>
      <w:r w:rsidR="00BE068D">
        <w:rPr>
          <w:rFonts w:ascii="Arial" w:hAnsi="Arial" w:cs="Arial"/>
        </w:rPr>
        <w:t>nich</w:t>
      </w:r>
      <w:r w:rsidR="00BE068D" w:rsidRPr="00BE068D">
        <w:rPr>
          <w:rFonts w:ascii="Arial" w:hAnsi="Arial" w:cs="Arial"/>
        </w:rPr>
        <w:t xml:space="preserve"> opiera swoją działalność na przychodach otrzymanych z 1,5</w:t>
      </w:r>
      <w:r w:rsidR="00BE068D">
        <w:rPr>
          <w:rFonts w:ascii="Arial" w:hAnsi="Arial" w:cs="Arial"/>
        </w:rPr>
        <w:t xml:space="preserve"> proc.</w:t>
      </w:r>
      <w:r w:rsidR="00BE068D" w:rsidRPr="00BE068D">
        <w:rPr>
          <w:rFonts w:ascii="Arial" w:hAnsi="Arial" w:cs="Arial"/>
        </w:rPr>
        <w:t xml:space="preserve"> podatku PIT. Zgodnie z danymi Ministerstwa Finansów w 2023 roku OPP otrzymały z tego tytułu ponad 1,5 mld zł, a w roku 2024 </w:t>
      </w:r>
      <w:r>
        <w:rPr>
          <w:rFonts w:ascii="Arial" w:hAnsi="Arial" w:cs="Arial"/>
        </w:rPr>
        <w:t xml:space="preserve">- </w:t>
      </w:r>
      <w:r w:rsidR="00BE068D" w:rsidRPr="00BE068D">
        <w:rPr>
          <w:rFonts w:ascii="Arial" w:hAnsi="Arial" w:cs="Arial"/>
        </w:rPr>
        <w:t xml:space="preserve"> około 1,9</w:t>
      </w:r>
      <w:r w:rsidR="00BE068D">
        <w:rPr>
          <w:rFonts w:ascii="Arial" w:hAnsi="Arial" w:cs="Arial"/>
        </w:rPr>
        <w:t xml:space="preserve"> </w:t>
      </w:r>
      <w:r w:rsidR="00BE068D" w:rsidRPr="00BE068D">
        <w:rPr>
          <w:rFonts w:ascii="Arial" w:hAnsi="Arial" w:cs="Arial"/>
        </w:rPr>
        <w:t xml:space="preserve">mld </w:t>
      </w:r>
      <w:r w:rsidR="00B07B24">
        <w:rPr>
          <w:rFonts w:ascii="Arial" w:hAnsi="Arial" w:cs="Arial"/>
        </w:rPr>
        <w:t xml:space="preserve">zł. </w:t>
      </w:r>
      <w:r>
        <w:rPr>
          <w:rFonts w:ascii="Arial" w:hAnsi="Arial" w:cs="Arial"/>
        </w:rPr>
        <w:t>Jednak k</w:t>
      </w:r>
      <w:r w:rsidR="00B07B24">
        <w:rPr>
          <w:rFonts w:ascii="Arial" w:hAnsi="Arial" w:cs="Arial"/>
        </w:rPr>
        <w:t>woty</w:t>
      </w:r>
      <w:r w:rsidR="00BE068D" w:rsidRPr="00BE068D">
        <w:rPr>
          <w:rFonts w:ascii="Arial" w:hAnsi="Arial" w:cs="Arial"/>
        </w:rPr>
        <w:t xml:space="preserve"> zebrane przez 10 największych organizacji odpowiadały za ponad 44</w:t>
      </w:r>
      <w:r w:rsidR="00BA7157">
        <w:rPr>
          <w:rFonts w:ascii="Arial" w:hAnsi="Arial" w:cs="Arial"/>
        </w:rPr>
        <w:t xml:space="preserve"> proc.</w:t>
      </w:r>
      <w:r w:rsidR="00BE068D" w:rsidRPr="00BE068D">
        <w:rPr>
          <w:rFonts w:ascii="Arial" w:hAnsi="Arial" w:cs="Arial"/>
        </w:rPr>
        <w:t xml:space="preserve"> wszystkich przychodów OPP, a kwoty zebrane przez 100 największych organizacji odpowiadały za ponad 72</w:t>
      </w:r>
      <w:r w:rsidR="00BA7157">
        <w:rPr>
          <w:rFonts w:ascii="Arial" w:hAnsi="Arial" w:cs="Arial"/>
        </w:rPr>
        <w:t xml:space="preserve"> proc</w:t>
      </w:r>
      <w:r w:rsidR="00BE068D" w:rsidRPr="00BE068D">
        <w:rPr>
          <w:rFonts w:ascii="Arial" w:hAnsi="Arial" w:cs="Arial"/>
        </w:rPr>
        <w:t>. –</w:t>
      </w:r>
      <w:r w:rsidR="00B07B24">
        <w:rPr>
          <w:rFonts w:ascii="Arial" w:hAnsi="Arial" w:cs="Arial"/>
        </w:rPr>
        <w:t xml:space="preserve"> </w:t>
      </w:r>
      <w:r w:rsidR="00DB6B1C">
        <w:rPr>
          <w:rFonts w:ascii="Arial" w:hAnsi="Arial" w:cs="Arial"/>
        </w:rPr>
        <w:t>dystrybucja tych środków</w:t>
      </w:r>
      <w:r w:rsidR="00B07B24">
        <w:rPr>
          <w:rFonts w:ascii="Arial" w:hAnsi="Arial" w:cs="Arial"/>
        </w:rPr>
        <w:t xml:space="preserve"> jest zatem bardzo nierównomiern</w:t>
      </w:r>
      <w:r w:rsidR="00DB6B1C">
        <w:rPr>
          <w:rFonts w:ascii="Arial" w:hAnsi="Arial" w:cs="Arial"/>
        </w:rPr>
        <w:t>a</w:t>
      </w:r>
      <w:r w:rsidR="00B07B24">
        <w:rPr>
          <w:rFonts w:ascii="Arial" w:hAnsi="Arial" w:cs="Arial"/>
        </w:rPr>
        <w:t>.</w:t>
      </w:r>
    </w:p>
    <w:p w14:paraId="4BC3A0DF" w14:textId="77777777" w:rsidR="00490C29" w:rsidRPr="00BE068D" w:rsidRDefault="00490C29" w:rsidP="00BE068D">
      <w:pPr>
        <w:pStyle w:val="Tre"/>
        <w:rPr>
          <w:rFonts w:ascii="Arial" w:hAnsi="Arial" w:cs="Arial"/>
        </w:rPr>
      </w:pPr>
    </w:p>
    <w:p w14:paraId="0B0877A7" w14:textId="6D27A4D9" w:rsidR="00BE068D" w:rsidRDefault="00BE068D" w:rsidP="00BE068D">
      <w:pPr>
        <w:pStyle w:val="Tre"/>
        <w:rPr>
          <w:rFonts w:ascii="Arial" w:hAnsi="Arial" w:cs="Arial"/>
        </w:rPr>
      </w:pPr>
      <w:r w:rsidRPr="00BE068D">
        <w:rPr>
          <w:rFonts w:ascii="Arial" w:hAnsi="Arial" w:cs="Arial"/>
        </w:rPr>
        <w:t xml:space="preserve">Istotna część </w:t>
      </w:r>
      <w:r w:rsidR="00DB6B1C">
        <w:rPr>
          <w:rFonts w:ascii="Arial" w:hAnsi="Arial" w:cs="Arial"/>
        </w:rPr>
        <w:t>pieniędzy</w:t>
      </w:r>
      <w:r w:rsidRPr="00BE068D">
        <w:rPr>
          <w:rFonts w:ascii="Arial" w:hAnsi="Arial" w:cs="Arial"/>
        </w:rPr>
        <w:t>, które trafiają do fundacji i stowarzyszeń</w:t>
      </w:r>
      <w:r w:rsidR="00DC316F">
        <w:rPr>
          <w:rFonts w:ascii="Arial" w:hAnsi="Arial" w:cs="Arial"/>
        </w:rPr>
        <w:t>,</w:t>
      </w:r>
      <w:r w:rsidRPr="00BE068D">
        <w:rPr>
          <w:rFonts w:ascii="Arial" w:hAnsi="Arial" w:cs="Arial"/>
        </w:rPr>
        <w:t xml:space="preserve"> jest na bieżąco wydawana na realizację celów statutowych. Istnieje również druga część zasobów finansowych, która ma zabezpieczyć ciągłość działania organizacji w średnim i długim terminie. Sprawą oczywistą jest, że podstawowym celem działalności OPP jest realizacja celów społecznych, a nie czerpanie zysków z posiadanego kapitału, niemniej jednak należy pamiętać, że niepracujące środki – szczególnie w okresie podwyższonej inflacji </w:t>
      </w:r>
      <w:r w:rsidR="00FB0C8B">
        <w:rPr>
          <w:rFonts w:ascii="Arial" w:hAnsi="Arial" w:cs="Arial"/>
        </w:rPr>
        <w:t xml:space="preserve">- </w:t>
      </w:r>
      <w:r w:rsidRPr="00BE068D">
        <w:rPr>
          <w:rFonts w:ascii="Arial" w:hAnsi="Arial" w:cs="Arial"/>
        </w:rPr>
        <w:t xml:space="preserve">w szybki sposób tracą na wartości. </w:t>
      </w:r>
    </w:p>
    <w:p w14:paraId="7E80959C" w14:textId="77777777" w:rsidR="00490C29" w:rsidRPr="00BE068D" w:rsidRDefault="00490C29" w:rsidP="00BE068D">
      <w:pPr>
        <w:pStyle w:val="Tre"/>
        <w:rPr>
          <w:rFonts w:ascii="Arial" w:hAnsi="Arial" w:cs="Arial"/>
        </w:rPr>
      </w:pPr>
    </w:p>
    <w:p w14:paraId="6B128731" w14:textId="74264952" w:rsidR="0068149B" w:rsidRPr="00BE068D" w:rsidRDefault="0068149B" w:rsidP="00BE068D">
      <w:pPr>
        <w:pStyle w:val="Tre"/>
        <w:rPr>
          <w:rFonts w:ascii="Arial" w:hAnsi="Arial" w:cs="Arial"/>
        </w:rPr>
      </w:pPr>
    </w:p>
    <w:p w14:paraId="347C421D" w14:textId="77777777" w:rsidR="00BE068D" w:rsidRPr="009B41C6" w:rsidRDefault="00BE068D" w:rsidP="003151EF">
      <w:pPr>
        <w:pStyle w:val="Tre"/>
        <w:jc w:val="both"/>
        <w:rPr>
          <w:rFonts w:ascii="Arial" w:hAnsi="Arial" w:cs="Arial"/>
          <w:b/>
          <w:bCs/>
        </w:rPr>
      </w:pPr>
    </w:p>
    <w:p w14:paraId="2F4A179B" w14:textId="77777777" w:rsidR="00F73C45" w:rsidRPr="009B41C6" w:rsidRDefault="00F73C45" w:rsidP="0093436C">
      <w:pPr>
        <w:rPr>
          <w:rFonts w:cs="Arial"/>
          <w:b/>
          <w:bCs/>
          <w:sz w:val="22"/>
          <w:szCs w:val="32"/>
          <w:lang w:val="pl-PL"/>
        </w:rPr>
      </w:pPr>
      <w:r w:rsidRPr="009B41C6">
        <w:rPr>
          <w:rFonts w:cs="Arial"/>
          <w:b/>
          <w:bCs/>
          <w:sz w:val="22"/>
          <w:szCs w:val="32"/>
          <w:lang w:val="pl-PL"/>
        </w:rPr>
        <w:t>Autor:</w:t>
      </w:r>
    </w:p>
    <w:p w14:paraId="48786D93" w14:textId="77777777" w:rsidR="00F73C45" w:rsidRPr="009B41C6" w:rsidRDefault="00F73C45" w:rsidP="0093436C">
      <w:pPr>
        <w:spacing w:after="0"/>
        <w:rPr>
          <w:rFonts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6960"/>
      </w:tblGrid>
      <w:tr w:rsidR="00F73C45" w:rsidRPr="009B41C6" w14:paraId="5361A9EB" w14:textId="77777777">
        <w:tc>
          <w:tcPr>
            <w:tcW w:w="2122" w:type="dxa"/>
          </w:tcPr>
          <w:p w14:paraId="4F107931" w14:textId="77777777" w:rsidR="00F73C45" w:rsidRPr="009B41C6" w:rsidRDefault="00F73C45" w:rsidP="0093436C">
            <w:pPr>
              <w:rPr>
                <w:rFonts w:cs="Arial"/>
                <w:lang w:val="pl-PL"/>
              </w:rPr>
            </w:pPr>
            <w:r w:rsidRPr="009B41C6">
              <w:rPr>
                <w:rFonts w:cs="Arial"/>
                <w:noProof/>
                <w:lang w:val="pl-PL"/>
              </w:rPr>
              <w:drawing>
                <wp:inline distT="0" distB="0" distL="0" distR="0" wp14:anchorId="7BECF0F4" wp14:editId="6B86E050">
                  <wp:extent cx="1036595" cy="1016142"/>
                  <wp:effectExtent l="57150" t="57150" r="49530" b="50800"/>
                  <wp:docPr id="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CC11E4-7C11-3ED9-A775-F2718347192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FF2B5EF4-FFF2-40B4-BE49-F238E27FC236}">
                                <a16:creationId xmlns:a16="http://schemas.microsoft.com/office/drawing/2014/main" id="{A7CC11E4-7C11-3ED9-A775-F271834719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47" b="7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595" cy="1016142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14:paraId="46063001" w14:textId="77777777" w:rsidR="00F73C45" w:rsidRPr="009B41C6" w:rsidRDefault="00F73C45" w:rsidP="0093436C">
            <w:pPr>
              <w:rPr>
                <w:rFonts w:cs="Arial"/>
                <w:b/>
                <w:bCs/>
                <w:sz w:val="20"/>
                <w:szCs w:val="28"/>
                <w:lang w:val="pl-PL"/>
              </w:rPr>
            </w:pPr>
          </w:p>
          <w:p w14:paraId="766C8315" w14:textId="52D65D94" w:rsidR="00F73C45" w:rsidRPr="009B41C6" w:rsidRDefault="00AC4258" w:rsidP="0093436C">
            <w:pPr>
              <w:rPr>
                <w:rFonts w:cs="Arial"/>
                <w:b/>
                <w:bCs/>
                <w:color w:val="auto"/>
                <w:sz w:val="20"/>
                <w:szCs w:val="28"/>
                <w:lang w:val="pl-PL"/>
              </w:rPr>
            </w:pPr>
            <w:r w:rsidRPr="009B41C6">
              <w:rPr>
                <w:rFonts w:cs="Arial"/>
                <w:b/>
                <w:bCs/>
                <w:sz w:val="20"/>
                <w:szCs w:val="28"/>
                <w:lang w:val="pl-PL"/>
              </w:rPr>
              <w:t>Franciszek Kęsy</w:t>
            </w:r>
          </w:p>
          <w:p w14:paraId="3BEDABF9" w14:textId="6E80F8B9" w:rsidR="00F73C45" w:rsidRPr="009B41C6" w:rsidRDefault="006B5A70" w:rsidP="0093436C">
            <w:pPr>
              <w:rPr>
                <w:rFonts w:cs="Arial"/>
                <w:sz w:val="20"/>
                <w:szCs w:val="28"/>
                <w:lang w:val="pl-PL"/>
              </w:rPr>
            </w:pPr>
            <w:r w:rsidRPr="009B41C6">
              <w:rPr>
                <w:rFonts w:cs="Arial"/>
                <w:sz w:val="20"/>
                <w:szCs w:val="28"/>
                <w:lang w:val="pl-PL"/>
              </w:rPr>
              <w:t>Dyrektor ds. Klientów Strategicznych</w:t>
            </w:r>
            <w:r w:rsidR="00F73C45" w:rsidRPr="009B41C6">
              <w:rPr>
                <w:rFonts w:cs="Arial"/>
                <w:sz w:val="20"/>
                <w:szCs w:val="28"/>
                <w:lang w:val="pl-PL"/>
              </w:rPr>
              <w:t xml:space="preserve">, </w:t>
            </w:r>
          </w:p>
          <w:p w14:paraId="07F4BF75" w14:textId="77777777" w:rsidR="00F73C45" w:rsidRPr="009B41C6" w:rsidRDefault="00F73C45" w:rsidP="0093436C">
            <w:pPr>
              <w:rPr>
                <w:rFonts w:cs="Arial"/>
                <w:sz w:val="20"/>
                <w:szCs w:val="28"/>
                <w:lang w:val="pl-PL"/>
              </w:rPr>
            </w:pPr>
            <w:hyperlink r:id="rId12" w:history="1">
              <w:r w:rsidRPr="009B41C6">
                <w:rPr>
                  <w:rStyle w:val="Hipercze"/>
                  <w:rFonts w:cs="Arial"/>
                  <w:sz w:val="20"/>
                  <w:szCs w:val="28"/>
                  <w:lang w:val="pl-PL"/>
                </w:rPr>
                <w:t>Michael / Str</w:t>
              </w:r>
              <w:r w:rsidRPr="009B41C6">
                <w:rPr>
                  <w:rStyle w:val="Hipercze"/>
                  <w:rFonts w:cs="Arial"/>
                  <w:sz w:val="20"/>
                  <w:szCs w:val="28"/>
                  <w:shd w:val="clear" w:color="auto" w:fill="FFFFFF"/>
                  <w:lang w:val="pl-PL"/>
                </w:rPr>
                <w:t>ö</w:t>
              </w:r>
              <w:r w:rsidRPr="009B41C6">
                <w:rPr>
                  <w:rStyle w:val="Hipercze"/>
                  <w:rFonts w:cs="Arial"/>
                  <w:sz w:val="20"/>
                  <w:szCs w:val="28"/>
                  <w:lang w:val="pl-PL"/>
                </w:rPr>
                <w:t>m Dom Maklerski</w:t>
              </w:r>
            </w:hyperlink>
          </w:p>
        </w:tc>
      </w:tr>
    </w:tbl>
    <w:p w14:paraId="64C081F9" w14:textId="77777777" w:rsidR="00F73C45" w:rsidRPr="009B41C6" w:rsidRDefault="00F73C45" w:rsidP="0093436C">
      <w:pPr>
        <w:rPr>
          <w:rFonts w:cs="Arial"/>
          <w:lang w:val="pl-PL"/>
        </w:rPr>
      </w:pPr>
    </w:p>
    <w:p w14:paraId="484712FC" w14:textId="77777777" w:rsidR="00F73C45" w:rsidRPr="009B41C6" w:rsidRDefault="00F73C45" w:rsidP="0093436C">
      <w:pPr>
        <w:rPr>
          <w:rFonts w:cs="Arial"/>
          <w:lang w:val="pl-PL"/>
        </w:rPr>
      </w:pPr>
    </w:p>
    <w:p w14:paraId="69B02C1B" w14:textId="77777777" w:rsidR="00F73C45" w:rsidRPr="009B41C6" w:rsidRDefault="00F73C45" w:rsidP="0093436C">
      <w:pPr>
        <w:rPr>
          <w:rFonts w:cs="Arial"/>
          <w:lang w:val="pl-PL"/>
        </w:rPr>
      </w:pPr>
    </w:p>
    <w:p w14:paraId="2698EA7E" w14:textId="77777777" w:rsidR="00F73C45" w:rsidRPr="009B41C6" w:rsidRDefault="00F73C45" w:rsidP="0093436C">
      <w:pPr>
        <w:spacing w:after="0"/>
        <w:rPr>
          <w:rFonts w:cs="Arial"/>
          <w:b/>
          <w:sz w:val="20"/>
          <w:szCs w:val="20"/>
          <w:lang w:val="pl-PL"/>
        </w:rPr>
      </w:pPr>
      <w:r w:rsidRPr="009B41C6">
        <w:rPr>
          <w:rFonts w:cs="Arial"/>
          <w:b/>
          <w:sz w:val="20"/>
          <w:szCs w:val="20"/>
          <w:lang w:val="pl-PL"/>
        </w:rPr>
        <w:t>ZASTRZEŻENIE PRAWNE</w:t>
      </w:r>
    </w:p>
    <w:p w14:paraId="53689FB7" w14:textId="77777777" w:rsidR="00F73C45" w:rsidRPr="009B41C6" w:rsidRDefault="00F73C45" w:rsidP="0093436C">
      <w:pPr>
        <w:pStyle w:val="Akapitzlist"/>
        <w:spacing w:after="0"/>
        <w:ind w:left="0"/>
        <w:contextualSpacing w:val="0"/>
        <w:rPr>
          <w:rFonts w:cs="Arial"/>
          <w:sz w:val="20"/>
          <w:szCs w:val="20"/>
          <w:lang w:val="pl-PL"/>
        </w:rPr>
      </w:pPr>
    </w:p>
    <w:p w14:paraId="6FC4154E" w14:textId="77777777" w:rsidR="00F73C45" w:rsidRPr="009B41C6" w:rsidRDefault="00F73C45" w:rsidP="0093436C">
      <w:pPr>
        <w:contextualSpacing/>
        <w:rPr>
          <w:rFonts w:cs="Arial"/>
          <w:sz w:val="20"/>
          <w:szCs w:val="20"/>
          <w:lang w:val="pl-PL"/>
        </w:rPr>
      </w:pPr>
      <w:r w:rsidRPr="009B41C6">
        <w:rPr>
          <w:rFonts w:cs="Arial"/>
          <w:sz w:val="20"/>
          <w:szCs w:val="20"/>
          <w:lang w:val="pl-PL"/>
        </w:rPr>
        <w:t xml:space="preserve">Wszelkie przedstawione analizy, komentarze i konkluzje stanowią osobiste poglądy autora wyrażone w oparciu o posiadaną fachową wiedzę dotyczącą funkcjonowania rynku finansowego. </w:t>
      </w:r>
    </w:p>
    <w:p w14:paraId="50724BC5" w14:textId="77777777" w:rsidR="00F73C45" w:rsidRPr="009B41C6" w:rsidRDefault="00F73C45" w:rsidP="0093436C">
      <w:pPr>
        <w:contextualSpacing/>
        <w:rPr>
          <w:rFonts w:cs="Arial"/>
          <w:sz w:val="20"/>
          <w:szCs w:val="20"/>
          <w:lang w:val="pl-PL"/>
        </w:rPr>
      </w:pPr>
    </w:p>
    <w:p w14:paraId="4BD196EA" w14:textId="77777777" w:rsidR="00F73C45" w:rsidRPr="009B41C6" w:rsidRDefault="00F73C45" w:rsidP="0093436C">
      <w:pPr>
        <w:contextualSpacing/>
        <w:rPr>
          <w:rFonts w:cs="Arial"/>
          <w:b/>
          <w:bCs/>
          <w:sz w:val="20"/>
          <w:szCs w:val="20"/>
          <w:lang w:val="pl-PL" w:eastAsia="pl-PL"/>
        </w:rPr>
      </w:pPr>
      <w:r w:rsidRPr="009B41C6">
        <w:rPr>
          <w:rFonts w:cs="Arial"/>
          <w:b/>
          <w:bCs/>
          <w:sz w:val="20"/>
          <w:szCs w:val="20"/>
          <w:lang w:val="pl-PL"/>
        </w:rPr>
        <w:t xml:space="preserve">Niniejszy materiał jest publikacją handlową </w:t>
      </w:r>
      <w:r w:rsidRPr="009B41C6">
        <w:rPr>
          <w:rFonts w:cs="Arial"/>
          <w:b/>
          <w:bCs/>
          <w:sz w:val="20"/>
          <w:szCs w:val="20"/>
          <w:lang w:val="pl-PL" w:eastAsia="pl-PL"/>
        </w:rPr>
        <w:t>Michael / Ström Dom Maklerski S.A.  z siedzibą w Warszawie.</w:t>
      </w:r>
    </w:p>
    <w:p w14:paraId="42975A63" w14:textId="77777777" w:rsidR="00F73C45" w:rsidRPr="009B41C6" w:rsidRDefault="00F73C45" w:rsidP="0093436C">
      <w:pPr>
        <w:contextualSpacing/>
        <w:rPr>
          <w:rFonts w:cs="Arial"/>
          <w:sz w:val="20"/>
          <w:szCs w:val="20"/>
          <w:lang w:val="pl-PL"/>
        </w:rPr>
      </w:pPr>
    </w:p>
    <w:p w14:paraId="43735777" w14:textId="77777777" w:rsidR="00F73C45" w:rsidRPr="009B41C6" w:rsidRDefault="00F73C45" w:rsidP="0093436C">
      <w:pPr>
        <w:numPr>
          <w:ilvl w:val="0"/>
          <w:numId w:val="1"/>
        </w:numPr>
        <w:spacing w:before="0" w:after="0" w:line="264" w:lineRule="auto"/>
        <w:ind w:right="422"/>
        <w:contextualSpacing/>
        <w:rPr>
          <w:rFonts w:eastAsia="Times New Roman" w:cs="Arial"/>
          <w:sz w:val="20"/>
          <w:szCs w:val="20"/>
          <w:lang w:val="pl-PL"/>
        </w:rPr>
      </w:pPr>
      <w:r w:rsidRPr="009B41C6">
        <w:rPr>
          <w:rFonts w:eastAsia="Times New Roman" w:cs="Arial"/>
          <w:sz w:val="20"/>
          <w:szCs w:val="20"/>
          <w:lang w:val="pl-PL"/>
        </w:rPr>
        <w:lastRenderedPageBreak/>
        <w:t>nie stanowi rekomendacji w ramach usługi doradztwa inwestycyjnego w rozumieniu ustawy z dnia 29 lipca 2005 r. o obrocie instrumentami finansowymi;</w:t>
      </w:r>
    </w:p>
    <w:p w14:paraId="3AEF3F5B" w14:textId="77777777" w:rsidR="00F73C45" w:rsidRPr="009B41C6" w:rsidRDefault="00F73C45" w:rsidP="0093436C">
      <w:pPr>
        <w:numPr>
          <w:ilvl w:val="0"/>
          <w:numId w:val="1"/>
        </w:numPr>
        <w:spacing w:before="0" w:after="0" w:line="264" w:lineRule="auto"/>
        <w:ind w:right="422"/>
        <w:contextualSpacing/>
        <w:rPr>
          <w:rFonts w:eastAsia="Times New Roman" w:cs="Arial"/>
          <w:sz w:val="20"/>
          <w:szCs w:val="20"/>
          <w:lang w:val="pl-PL"/>
        </w:rPr>
      </w:pPr>
      <w:r w:rsidRPr="009B41C6">
        <w:rPr>
          <w:rFonts w:eastAsia="Times New Roman" w:cs="Arial"/>
          <w:sz w:val="20"/>
          <w:szCs w:val="20"/>
          <w:lang w:val="pl-PL"/>
        </w:rPr>
        <w:t>nie jest badaniem inwestycyjnym w rozumieniu rozporządzenia delegowanego Komisji (UE) 2017/565 z dnia 25 kwietnia 2016 r. uzupełniające go dyrektywę Parlamentu Europejskiego i Rady 2014/65/UE w odniesieniu do wymogów organizacyjnych i warunków prowadzenia działalności przez firmy inwestycyjne oraz pojęć zdefiniowanych na potrzeby tej dyrektywy;</w:t>
      </w:r>
    </w:p>
    <w:p w14:paraId="075E58B5" w14:textId="77777777" w:rsidR="00F73C45" w:rsidRPr="009B41C6" w:rsidRDefault="00F73C45" w:rsidP="0093436C">
      <w:pPr>
        <w:numPr>
          <w:ilvl w:val="0"/>
          <w:numId w:val="1"/>
        </w:numPr>
        <w:spacing w:before="0" w:after="0" w:line="264" w:lineRule="auto"/>
        <w:ind w:right="422"/>
        <w:contextualSpacing/>
        <w:rPr>
          <w:rFonts w:eastAsia="Times New Roman" w:cs="Arial"/>
          <w:sz w:val="20"/>
          <w:szCs w:val="20"/>
          <w:lang w:val="pl-PL"/>
        </w:rPr>
      </w:pPr>
      <w:r w:rsidRPr="009B41C6">
        <w:rPr>
          <w:rFonts w:eastAsia="Times New Roman" w:cs="Arial"/>
          <w:sz w:val="20"/>
          <w:szCs w:val="20"/>
          <w:lang w:val="pl-PL"/>
        </w:rPr>
        <w:t>nie spełnia standardów rekomendacji inwestycyjnej określonych w rozporządzeniu delegowanym Komisji (UE) 2016/958 z dnia 9 marca 2016 r. uzupełniającym rozporządzenie Parlamentu Europejskiego i Rady (UE) nr 596/2014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interesów.</w:t>
      </w:r>
    </w:p>
    <w:p w14:paraId="497DD8A4" w14:textId="77777777" w:rsidR="00F73C45" w:rsidRPr="002D27E3" w:rsidRDefault="00F73C45" w:rsidP="0093436C">
      <w:pPr>
        <w:rPr>
          <w:lang w:val="pl-PL"/>
        </w:rPr>
      </w:pPr>
    </w:p>
    <w:p w14:paraId="442E4DDA" w14:textId="77777777" w:rsidR="00D81861" w:rsidRPr="002D27E3" w:rsidRDefault="00D81861" w:rsidP="0093436C">
      <w:pPr>
        <w:rPr>
          <w:lang w:val="pl-PL"/>
        </w:rPr>
      </w:pPr>
    </w:p>
    <w:sectPr w:rsidR="00D81861" w:rsidRPr="002D27E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A3D6" w14:textId="77777777" w:rsidR="005918F6" w:rsidRDefault="005918F6" w:rsidP="00B744DE">
      <w:pPr>
        <w:spacing w:before="0" w:after="0" w:line="240" w:lineRule="auto"/>
      </w:pPr>
      <w:r>
        <w:separator/>
      </w:r>
    </w:p>
  </w:endnote>
  <w:endnote w:type="continuationSeparator" w:id="0">
    <w:p w14:paraId="2C77DF49" w14:textId="77777777" w:rsidR="005918F6" w:rsidRDefault="005918F6" w:rsidP="00B744DE">
      <w:pPr>
        <w:spacing w:before="0" w:after="0" w:line="240" w:lineRule="auto"/>
      </w:pPr>
      <w:r>
        <w:continuationSeparator/>
      </w:r>
    </w:p>
  </w:endnote>
  <w:endnote w:type="continuationNotice" w:id="1">
    <w:p w14:paraId="460EAD80" w14:textId="77777777" w:rsidR="005918F6" w:rsidRDefault="005918F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C89C" w14:textId="77777777" w:rsidR="00B11C66" w:rsidRDefault="00B11C66" w:rsidP="00B11C66">
    <w:pPr>
      <w:pStyle w:val="Stopka"/>
      <w:ind w:left="-426" w:right="-427"/>
      <w:rPr>
        <w:rFonts w:cs="Arial"/>
        <w:sz w:val="11"/>
        <w:szCs w:val="11"/>
      </w:rPr>
    </w:pPr>
  </w:p>
  <w:p w14:paraId="6D4D8F89" w14:textId="77777777" w:rsidR="00B11C66" w:rsidRDefault="00B11C66" w:rsidP="00B11C66">
    <w:pPr>
      <w:pStyle w:val="Stopka"/>
      <w:ind w:left="-426" w:right="-427"/>
      <w:rPr>
        <w:rFonts w:cs="Arial"/>
        <w:sz w:val="11"/>
        <w:szCs w:val="11"/>
      </w:rPr>
    </w:pPr>
  </w:p>
  <w:p w14:paraId="0449F992" w14:textId="3B23F3D2" w:rsidR="00B11C66" w:rsidRPr="00A15381" w:rsidRDefault="00B11C66" w:rsidP="00B11C66">
    <w:pPr>
      <w:pStyle w:val="Stopka"/>
      <w:ind w:left="-426" w:right="-427"/>
      <w:rPr>
        <w:sz w:val="28"/>
        <w:szCs w:val="28"/>
        <w:lang w:val="pl-PL"/>
      </w:rPr>
    </w:pPr>
    <w:r w:rsidRPr="0096737A">
      <w:rPr>
        <w:rFonts w:cs="Arial"/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24F80865" wp14:editId="5A66C090">
              <wp:simplePos x="0" y="0"/>
              <wp:positionH relativeFrom="margin">
                <wp:posOffset>-279617</wp:posOffset>
              </wp:positionH>
              <wp:positionV relativeFrom="paragraph">
                <wp:posOffset>-163118</wp:posOffset>
              </wp:positionV>
              <wp:extent cx="6668151" cy="0"/>
              <wp:effectExtent l="0" t="0" r="12065" b="1270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68151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2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o:spid="_x0000_s1026" strokecolor="#0e2841 [3215]" from="-22pt,-12.85pt" to="503.05pt,-12.85pt" w14:anchorId="3B5F28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">
              <v:stroke joinstyle="miter"/>
              <o:lock v:ext="edit" shapetype="f"/>
              <w10:wrap anchorx="margin"/>
            </v:line>
          </w:pict>
        </mc:Fallback>
      </mc:AlternateContent>
    </w:r>
    <w:r w:rsidRPr="00617B93">
      <w:rPr>
        <w:rFonts w:cs="Arial"/>
        <w:sz w:val="11"/>
        <w:szCs w:val="11"/>
        <w:lang w:val="pl-PL"/>
      </w:rPr>
      <w:t xml:space="preserve">Michael / Ström Dom Maklerski S.A. z siedzibą w Warszawie, Al. Jerozolimskie 100 (budynek </w:t>
    </w:r>
    <w:proofErr w:type="spellStart"/>
    <w:r w:rsidRPr="00617B93">
      <w:rPr>
        <w:rFonts w:cs="Arial"/>
        <w:sz w:val="11"/>
        <w:szCs w:val="11"/>
        <w:lang w:val="pl-PL"/>
      </w:rPr>
      <w:t>Equator</w:t>
    </w:r>
    <w:proofErr w:type="spellEnd"/>
    <w:r w:rsidRPr="00617B93">
      <w:rPr>
        <w:rFonts w:cs="Arial"/>
        <w:sz w:val="11"/>
        <w:szCs w:val="11"/>
        <w:lang w:val="pl-PL"/>
      </w:rPr>
      <w:t xml:space="preserve"> IV, 7 p.), 00-807 Warszawa, wpisana do Krajowego Rejestru Sądowego prowadzonego przez Sąd Rejonowy dla m.st. Warszawy w Warszawie, XII Wydział Gospodarczy Krajowego Rejestru Sądowego pod numerem KRS 0000712428, NIP 525-247-22-15, REGON nr 142-261-319, kapitał zakładowy 1.296.470,57 PLN w całości opłacony.</w:t>
    </w:r>
  </w:p>
  <w:p w14:paraId="46DFB49C" w14:textId="77777777" w:rsidR="00B744DE" w:rsidRPr="00153128" w:rsidRDefault="00B744D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6D9B" w14:textId="77777777" w:rsidR="005918F6" w:rsidRDefault="005918F6" w:rsidP="00B744DE">
      <w:pPr>
        <w:spacing w:before="0" w:after="0" w:line="240" w:lineRule="auto"/>
      </w:pPr>
      <w:r>
        <w:separator/>
      </w:r>
    </w:p>
  </w:footnote>
  <w:footnote w:type="continuationSeparator" w:id="0">
    <w:p w14:paraId="6998B37F" w14:textId="77777777" w:rsidR="005918F6" w:rsidRDefault="005918F6" w:rsidP="00B744DE">
      <w:pPr>
        <w:spacing w:before="0" w:after="0" w:line="240" w:lineRule="auto"/>
      </w:pPr>
      <w:r>
        <w:continuationSeparator/>
      </w:r>
    </w:p>
  </w:footnote>
  <w:footnote w:type="continuationNotice" w:id="1">
    <w:p w14:paraId="63D9893F" w14:textId="77777777" w:rsidR="005918F6" w:rsidRDefault="005918F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5DA4" w14:textId="03406774" w:rsidR="00B744DE" w:rsidRDefault="00B744DE">
    <w:pPr>
      <w:pStyle w:val="Nagwek"/>
    </w:pPr>
    <w:r w:rsidRPr="009A75DA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58CD86D6" wp14:editId="74FC7593">
          <wp:simplePos x="0" y="0"/>
          <wp:positionH relativeFrom="margin">
            <wp:align>center</wp:align>
          </wp:positionH>
          <wp:positionV relativeFrom="paragraph">
            <wp:posOffset>-53975</wp:posOffset>
          </wp:positionV>
          <wp:extent cx="1551482" cy="23147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482" cy="231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3F0C"/>
    <w:multiLevelType w:val="hybridMultilevel"/>
    <w:tmpl w:val="D82E0742"/>
    <w:styleLink w:val="Numery"/>
    <w:lvl w:ilvl="0" w:tplc="D2161068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0AEDBA">
      <w:start w:val="1"/>
      <w:numFmt w:val="decimal"/>
      <w:lvlText w:val="%2."/>
      <w:lvlJc w:val="left"/>
      <w:pPr>
        <w:ind w:left="8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283CE8">
      <w:start w:val="1"/>
      <w:numFmt w:val="decimal"/>
      <w:lvlText w:val="%3."/>
      <w:lvlJc w:val="left"/>
      <w:pPr>
        <w:ind w:left="11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C8038">
      <w:start w:val="1"/>
      <w:numFmt w:val="decimal"/>
      <w:lvlText w:val="%4."/>
      <w:lvlJc w:val="left"/>
      <w:pPr>
        <w:ind w:left="13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2002E">
      <w:start w:val="1"/>
      <w:numFmt w:val="decimal"/>
      <w:lvlText w:val="%5."/>
      <w:lvlJc w:val="left"/>
      <w:pPr>
        <w:ind w:left="155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8F780">
      <w:start w:val="1"/>
      <w:numFmt w:val="decimal"/>
      <w:lvlText w:val="%6."/>
      <w:lvlJc w:val="left"/>
      <w:pPr>
        <w:ind w:left="177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0C3B24">
      <w:start w:val="1"/>
      <w:numFmt w:val="decimal"/>
      <w:lvlText w:val="%7."/>
      <w:lvlJc w:val="left"/>
      <w:pPr>
        <w:ind w:left="19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BCB168">
      <w:start w:val="1"/>
      <w:numFmt w:val="decimal"/>
      <w:lvlText w:val="%8."/>
      <w:lvlJc w:val="left"/>
      <w:pPr>
        <w:ind w:left="22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EADCAA">
      <w:start w:val="1"/>
      <w:numFmt w:val="decimal"/>
      <w:lvlText w:val="%9."/>
      <w:lvlJc w:val="left"/>
      <w:pPr>
        <w:ind w:left="24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5C0F57"/>
    <w:multiLevelType w:val="hybridMultilevel"/>
    <w:tmpl w:val="74CE8E58"/>
    <w:lvl w:ilvl="0" w:tplc="0415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4AA84D7A"/>
    <w:multiLevelType w:val="hybridMultilevel"/>
    <w:tmpl w:val="81261316"/>
    <w:lvl w:ilvl="0" w:tplc="9B909444">
      <w:start w:val="1"/>
      <w:numFmt w:val="lowerLetter"/>
      <w:lvlText w:val="%1)"/>
      <w:lvlJc w:val="left"/>
      <w:pPr>
        <w:ind w:left="1301" w:hanging="360"/>
      </w:pPr>
    </w:lvl>
    <w:lvl w:ilvl="1" w:tplc="04150019">
      <w:start w:val="1"/>
      <w:numFmt w:val="lowerLetter"/>
      <w:lvlText w:val="%2."/>
      <w:lvlJc w:val="left"/>
      <w:pPr>
        <w:ind w:left="2021" w:hanging="360"/>
      </w:pPr>
    </w:lvl>
    <w:lvl w:ilvl="2" w:tplc="0415001B">
      <w:start w:val="1"/>
      <w:numFmt w:val="lowerRoman"/>
      <w:lvlText w:val="%3."/>
      <w:lvlJc w:val="right"/>
      <w:pPr>
        <w:ind w:left="2741" w:hanging="180"/>
      </w:pPr>
    </w:lvl>
    <w:lvl w:ilvl="3" w:tplc="0415000F">
      <w:start w:val="1"/>
      <w:numFmt w:val="decimal"/>
      <w:lvlText w:val="%4."/>
      <w:lvlJc w:val="left"/>
      <w:pPr>
        <w:ind w:left="3461" w:hanging="360"/>
      </w:pPr>
    </w:lvl>
    <w:lvl w:ilvl="4" w:tplc="04150019">
      <w:start w:val="1"/>
      <w:numFmt w:val="lowerLetter"/>
      <w:lvlText w:val="%5."/>
      <w:lvlJc w:val="left"/>
      <w:pPr>
        <w:ind w:left="4181" w:hanging="360"/>
      </w:pPr>
    </w:lvl>
    <w:lvl w:ilvl="5" w:tplc="0415001B">
      <w:start w:val="1"/>
      <w:numFmt w:val="lowerRoman"/>
      <w:lvlText w:val="%6."/>
      <w:lvlJc w:val="right"/>
      <w:pPr>
        <w:ind w:left="4901" w:hanging="180"/>
      </w:pPr>
    </w:lvl>
    <w:lvl w:ilvl="6" w:tplc="0415000F">
      <w:start w:val="1"/>
      <w:numFmt w:val="decimal"/>
      <w:lvlText w:val="%7."/>
      <w:lvlJc w:val="left"/>
      <w:pPr>
        <w:ind w:left="5621" w:hanging="360"/>
      </w:pPr>
    </w:lvl>
    <w:lvl w:ilvl="7" w:tplc="04150019">
      <w:start w:val="1"/>
      <w:numFmt w:val="lowerLetter"/>
      <w:lvlText w:val="%8."/>
      <w:lvlJc w:val="left"/>
      <w:pPr>
        <w:ind w:left="6341" w:hanging="360"/>
      </w:pPr>
    </w:lvl>
    <w:lvl w:ilvl="8" w:tplc="0415001B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54CA1A1E"/>
    <w:multiLevelType w:val="hybridMultilevel"/>
    <w:tmpl w:val="D82E0742"/>
    <w:numStyleLink w:val="Numery"/>
  </w:abstractNum>
  <w:num w:numId="1" w16cid:durableId="337656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327583">
    <w:abstractNumId w:val="0"/>
  </w:num>
  <w:num w:numId="3" w16cid:durableId="764619727">
    <w:abstractNumId w:val="3"/>
  </w:num>
  <w:num w:numId="4" w16cid:durableId="1693191256">
    <w:abstractNumId w:val="2"/>
  </w:num>
  <w:num w:numId="5" w16cid:durableId="1387876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745"/>
    <w:rsid w:val="00001DAF"/>
    <w:rsid w:val="0001039E"/>
    <w:rsid w:val="000128C5"/>
    <w:rsid w:val="000277A3"/>
    <w:rsid w:val="000278EC"/>
    <w:rsid w:val="0003512F"/>
    <w:rsid w:val="00035630"/>
    <w:rsid w:val="00045055"/>
    <w:rsid w:val="00047E1F"/>
    <w:rsid w:val="00056477"/>
    <w:rsid w:val="00085F63"/>
    <w:rsid w:val="000872FD"/>
    <w:rsid w:val="0009596F"/>
    <w:rsid w:val="000A6661"/>
    <w:rsid w:val="000A788C"/>
    <w:rsid w:val="000B4575"/>
    <w:rsid w:val="000B6318"/>
    <w:rsid w:val="000C56AD"/>
    <w:rsid w:val="000C5E82"/>
    <w:rsid w:val="000C6B09"/>
    <w:rsid w:val="000C7FBC"/>
    <w:rsid w:val="000D351C"/>
    <w:rsid w:val="000D3DD3"/>
    <w:rsid w:val="000D7351"/>
    <w:rsid w:val="000E0128"/>
    <w:rsid w:val="000E4D23"/>
    <w:rsid w:val="000F4006"/>
    <w:rsid w:val="000F7CFC"/>
    <w:rsid w:val="00103D6D"/>
    <w:rsid w:val="0010546F"/>
    <w:rsid w:val="00113E7C"/>
    <w:rsid w:val="001141A1"/>
    <w:rsid w:val="00132ACD"/>
    <w:rsid w:val="00142C89"/>
    <w:rsid w:val="00146563"/>
    <w:rsid w:val="001478B3"/>
    <w:rsid w:val="00153128"/>
    <w:rsid w:val="0015732C"/>
    <w:rsid w:val="001623F1"/>
    <w:rsid w:val="001732A5"/>
    <w:rsid w:val="001842A1"/>
    <w:rsid w:val="0019540A"/>
    <w:rsid w:val="0019657E"/>
    <w:rsid w:val="001A796A"/>
    <w:rsid w:val="001B5678"/>
    <w:rsid w:val="001B74DE"/>
    <w:rsid w:val="001D3865"/>
    <w:rsid w:val="001D7651"/>
    <w:rsid w:val="001E2B24"/>
    <w:rsid w:val="001E7AD6"/>
    <w:rsid w:val="001F6F77"/>
    <w:rsid w:val="00216989"/>
    <w:rsid w:val="00220D55"/>
    <w:rsid w:val="00221464"/>
    <w:rsid w:val="002252F4"/>
    <w:rsid w:val="0022660D"/>
    <w:rsid w:val="002503E1"/>
    <w:rsid w:val="0025623E"/>
    <w:rsid w:val="002567F8"/>
    <w:rsid w:val="00257B24"/>
    <w:rsid w:val="00261AE7"/>
    <w:rsid w:val="00263559"/>
    <w:rsid w:val="00264EE1"/>
    <w:rsid w:val="00271537"/>
    <w:rsid w:val="0027492B"/>
    <w:rsid w:val="002757DC"/>
    <w:rsid w:val="00280EB8"/>
    <w:rsid w:val="002825A7"/>
    <w:rsid w:val="00283668"/>
    <w:rsid w:val="0028756C"/>
    <w:rsid w:val="002A3227"/>
    <w:rsid w:val="002A6938"/>
    <w:rsid w:val="002B2B05"/>
    <w:rsid w:val="002B3F44"/>
    <w:rsid w:val="002D07C9"/>
    <w:rsid w:val="002D27E3"/>
    <w:rsid w:val="002E0E34"/>
    <w:rsid w:val="00315146"/>
    <w:rsid w:val="003151EF"/>
    <w:rsid w:val="0032282E"/>
    <w:rsid w:val="0032444F"/>
    <w:rsid w:val="00325947"/>
    <w:rsid w:val="003263BC"/>
    <w:rsid w:val="00335193"/>
    <w:rsid w:val="003365B8"/>
    <w:rsid w:val="00345B80"/>
    <w:rsid w:val="003467C4"/>
    <w:rsid w:val="0035500E"/>
    <w:rsid w:val="00356370"/>
    <w:rsid w:val="00364ADA"/>
    <w:rsid w:val="0036500A"/>
    <w:rsid w:val="0037541E"/>
    <w:rsid w:val="003813EF"/>
    <w:rsid w:val="003979EA"/>
    <w:rsid w:val="003A68A8"/>
    <w:rsid w:val="003A7B95"/>
    <w:rsid w:val="003D686E"/>
    <w:rsid w:val="003E2E1E"/>
    <w:rsid w:val="003F0610"/>
    <w:rsid w:val="003F468D"/>
    <w:rsid w:val="0040451A"/>
    <w:rsid w:val="00405226"/>
    <w:rsid w:val="00405900"/>
    <w:rsid w:val="00406BEA"/>
    <w:rsid w:val="0041566C"/>
    <w:rsid w:val="00416CFB"/>
    <w:rsid w:val="004172DA"/>
    <w:rsid w:val="00425784"/>
    <w:rsid w:val="00426CE5"/>
    <w:rsid w:val="00431238"/>
    <w:rsid w:val="00436D9D"/>
    <w:rsid w:val="00443EB6"/>
    <w:rsid w:val="00464B21"/>
    <w:rsid w:val="004650F0"/>
    <w:rsid w:val="00475C28"/>
    <w:rsid w:val="0047679A"/>
    <w:rsid w:val="00483EFA"/>
    <w:rsid w:val="00484791"/>
    <w:rsid w:val="00490407"/>
    <w:rsid w:val="00490C29"/>
    <w:rsid w:val="0049382C"/>
    <w:rsid w:val="0049712A"/>
    <w:rsid w:val="004A13C9"/>
    <w:rsid w:val="004A6BA1"/>
    <w:rsid w:val="004B4F25"/>
    <w:rsid w:val="004B5E0A"/>
    <w:rsid w:val="004C5E29"/>
    <w:rsid w:val="004D0571"/>
    <w:rsid w:val="004D1695"/>
    <w:rsid w:val="004D5894"/>
    <w:rsid w:val="004E0624"/>
    <w:rsid w:val="004E5142"/>
    <w:rsid w:val="004E6DB2"/>
    <w:rsid w:val="004F23F4"/>
    <w:rsid w:val="00514399"/>
    <w:rsid w:val="00517866"/>
    <w:rsid w:val="00521F8D"/>
    <w:rsid w:val="00536E0E"/>
    <w:rsid w:val="00541DA6"/>
    <w:rsid w:val="00550956"/>
    <w:rsid w:val="00552849"/>
    <w:rsid w:val="00563FEC"/>
    <w:rsid w:val="0057032E"/>
    <w:rsid w:val="005717EB"/>
    <w:rsid w:val="00587CF1"/>
    <w:rsid w:val="005918F6"/>
    <w:rsid w:val="005926D9"/>
    <w:rsid w:val="00596C01"/>
    <w:rsid w:val="005B072B"/>
    <w:rsid w:val="005B2262"/>
    <w:rsid w:val="005B6494"/>
    <w:rsid w:val="005B7255"/>
    <w:rsid w:val="005C260D"/>
    <w:rsid w:val="005C36D2"/>
    <w:rsid w:val="005D386B"/>
    <w:rsid w:val="005D5BC7"/>
    <w:rsid w:val="005F266D"/>
    <w:rsid w:val="005F4D17"/>
    <w:rsid w:val="005F4F9D"/>
    <w:rsid w:val="00600FDE"/>
    <w:rsid w:val="00612967"/>
    <w:rsid w:val="00622E42"/>
    <w:rsid w:val="00654E69"/>
    <w:rsid w:val="006550BC"/>
    <w:rsid w:val="0066196B"/>
    <w:rsid w:val="00663A25"/>
    <w:rsid w:val="00663AC6"/>
    <w:rsid w:val="006804E4"/>
    <w:rsid w:val="0068149B"/>
    <w:rsid w:val="00683B8A"/>
    <w:rsid w:val="00684ADD"/>
    <w:rsid w:val="006A051E"/>
    <w:rsid w:val="006A1214"/>
    <w:rsid w:val="006A133E"/>
    <w:rsid w:val="006B5A70"/>
    <w:rsid w:val="006B62E2"/>
    <w:rsid w:val="006B69EF"/>
    <w:rsid w:val="006D1E05"/>
    <w:rsid w:val="006D2507"/>
    <w:rsid w:val="006D54D3"/>
    <w:rsid w:val="006D628F"/>
    <w:rsid w:val="006D6745"/>
    <w:rsid w:val="006D7E15"/>
    <w:rsid w:val="006F568D"/>
    <w:rsid w:val="006F6C0E"/>
    <w:rsid w:val="00700012"/>
    <w:rsid w:val="0071279A"/>
    <w:rsid w:val="00717A96"/>
    <w:rsid w:val="007207BB"/>
    <w:rsid w:val="007222C9"/>
    <w:rsid w:val="007273A3"/>
    <w:rsid w:val="007315C3"/>
    <w:rsid w:val="007408A0"/>
    <w:rsid w:val="00741F4F"/>
    <w:rsid w:val="0074749D"/>
    <w:rsid w:val="00750EE0"/>
    <w:rsid w:val="00752B13"/>
    <w:rsid w:val="00754ACA"/>
    <w:rsid w:val="00786503"/>
    <w:rsid w:val="00794226"/>
    <w:rsid w:val="007955D0"/>
    <w:rsid w:val="007A37A9"/>
    <w:rsid w:val="007B1260"/>
    <w:rsid w:val="007B3880"/>
    <w:rsid w:val="007B3F49"/>
    <w:rsid w:val="007B5224"/>
    <w:rsid w:val="007B5432"/>
    <w:rsid w:val="007E7747"/>
    <w:rsid w:val="007F2B03"/>
    <w:rsid w:val="007F57CF"/>
    <w:rsid w:val="008012AB"/>
    <w:rsid w:val="008040E7"/>
    <w:rsid w:val="00822452"/>
    <w:rsid w:val="00826C8A"/>
    <w:rsid w:val="00840B65"/>
    <w:rsid w:val="00844BB9"/>
    <w:rsid w:val="0084595E"/>
    <w:rsid w:val="0085607C"/>
    <w:rsid w:val="00856880"/>
    <w:rsid w:val="008740B5"/>
    <w:rsid w:val="00897380"/>
    <w:rsid w:val="008A2127"/>
    <w:rsid w:val="008A7520"/>
    <w:rsid w:val="008B3A51"/>
    <w:rsid w:val="008C3217"/>
    <w:rsid w:val="008C3615"/>
    <w:rsid w:val="008D1AC0"/>
    <w:rsid w:val="008D664C"/>
    <w:rsid w:val="008F4E15"/>
    <w:rsid w:val="00902EAC"/>
    <w:rsid w:val="00923A23"/>
    <w:rsid w:val="009271B4"/>
    <w:rsid w:val="0093314D"/>
    <w:rsid w:val="0093436C"/>
    <w:rsid w:val="00934E84"/>
    <w:rsid w:val="00943702"/>
    <w:rsid w:val="009531C4"/>
    <w:rsid w:val="0097791C"/>
    <w:rsid w:val="00995529"/>
    <w:rsid w:val="00995F59"/>
    <w:rsid w:val="009A0421"/>
    <w:rsid w:val="009B1FDE"/>
    <w:rsid w:val="009B41C6"/>
    <w:rsid w:val="009B5114"/>
    <w:rsid w:val="009C37AD"/>
    <w:rsid w:val="009D01E1"/>
    <w:rsid w:val="009D0F02"/>
    <w:rsid w:val="009E1507"/>
    <w:rsid w:val="009E2482"/>
    <w:rsid w:val="009E4215"/>
    <w:rsid w:val="009E4C6C"/>
    <w:rsid w:val="009E6289"/>
    <w:rsid w:val="009F361E"/>
    <w:rsid w:val="009F4E4D"/>
    <w:rsid w:val="00A31025"/>
    <w:rsid w:val="00A3189C"/>
    <w:rsid w:val="00A4437C"/>
    <w:rsid w:val="00A475B2"/>
    <w:rsid w:val="00A61131"/>
    <w:rsid w:val="00A6176C"/>
    <w:rsid w:val="00A67838"/>
    <w:rsid w:val="00A729A8"/>
    <w:rsid w:val="00A911DC"/>
    <w:rsid w:val="00A972F6"/>
    <w:rsid w:val="00A97DAA"/>
    <w:rsid w:val="00AA30A5"/>
    <w:rsid w:val="00AB092A"/>
    <w:rsid w:val="00AB2254"/>
    <w:rsid w:val="00AB2BA8"/>
    <w:rsid w:val="00AC4258"/>
    <w:rsid w:val="00AC4522"/>
    <w:rsid w:val="00AD1D75"/>
    <w:rsid w:val="00AD29F0"/>
    <w:rsid w:val="00AD58F2"/>
    <w:rsid w:val="00AF0D7C"/>
    <w:rsid w:val="00AF2B66"/>
    <w:rsid w:val="00AF364F"/>
    <w:rsid w:val="00AF63E3"/>
    <w:rsid w:val="00AF73A9"/>
    <w:rsid w:val="00B059ED"/>
    <w:rsid w:val="00B07B24"/>
    <w:rsid w:val="00B10F16"/>
    <w:rsid w:val="00B11C66"/>
    <w:rsid w:val="00B15128"/>
    <w:rsid w:val="00B156DC"/>
    <w:rsid w:val="00B33F19"/>
    <w:rsid w:val="00B37C1C"/>
    <w:rsid w:val="00B56632"/>
    <w:rsid w:val="00B5706B"/>
    <w:rsid w:val="00B65952"/>
    <w:rsid w:val="00B74028"/>
    <w:rsid w:val="00B744DE"/>
    <w:rsid w:val="00B84815"/>
    <w:rsid w:val="00B849FE"/>
    <w:rsid w:val="00B84DAF"/>
    <w:rsid w:val="00B867E4"/>
    <w:rsid w:val="00B9250A"/>
    <w:rsid w:val="00BA7157"/>
    <w:rsid w:val="00BA74EC"/>
    <w:rsid w:val="00BB0072"/>
    <w:rsid w:val="00BB24D3"/>
    <w:rsid w:val="00BB627C"/>
    <w:rsid w:val="00BC0B73"/>
    <w:rsid w:val="00BC706E"/>
    <w:rsid w:val="00BD47DF"/>
    <w:rsid w:val="00BE068D"/>
    <w:rsid w:val="00BF3347"/>
    <w:rsid w:val="00BF591E"/>
    <w:rsid w:val="00C0127B"/>
    <w:rsid w:val="00C05C0A"/>
    <w:rsid w:val="00C30B2A"/>
    <w:rsid w:val="00C45276"/>
    <w:rsid w:val="00C51B7B"/>
    <w:rsid w:val="00C567D6"/>
    <w:rsid w:val="00C57B37"/>
    <w:rsid w:val="00C67D06"/>
    <w:rsid w:val="00C76B5C"/>
    <w:rsid w:val="00CA4AF7"/>
    <w:rsid w:val="00CA5588"/>
    <w:rsid w:val="00CB3CE7"/>
    <w:rsid w:val="00CB4C90"/>
    <w:rsid w:val="00CC03E9"/>
    <w:rsid w:val="00CC30BB"/>
    <w:rsid w:val="00CC519B"/>
    <w:rsid w:val="00CD011E"/>
    <w:rsid w:val="00CD5FC7"/>
    <w:rsid w:val="00CE3D7F"/>
    <w:rsid w:val="00D00B1D"/>
    <w:rsid w:val="00D11EB8"/>
    <w:rsid w:val="00D20B10"/>
    <w:rsid w:val="00D21556"/>
    <w:rsid w:val="00D274DD"/>
    <w:rsid w:val="00D303D0"/>
    <w:rsid w:val="00D32C31"/>
    <w:rsid w:val="00D36B0D"/>
    <w:rsid w:val="00D40406"/>
    <w:rsid w:val="00D42EA9"/>
    <w:rsid w:val="00D447A6"/>
    <w:rsid w:val="00D5225B"/>
    <w:rsid w:val="00D529F8"/>
    <w:rsid w:val="00D64534"/>
    <w:rsid w:val="00D66673"/>
    <w:rsid w:val="00D81861"/>
    <w:rsid w:val="00D82ACE"/>
    <w:rsid w:val="00D84FD7"/>
    <w:rsid w:val="00D95D55"/>
    <w:rsid w:val="00D96480"/>
    <w:rsid w:val="00DA3312"/>
    <w:rsid w:val="00DB6B1C"/>
    <w:rsid w:val="00DC316F"/>
    <w:rsid w:val="00DC7D3B"/>
    <w:rsid w:val="00DD6777"/>
    <w:rsid w:val="00DE2685"/>
    <w:rsid w:val="00DE3863"/>
    <w:rsid w:val="00DF135C"/>
    <w:rsid w:val="00DF1423"/>
    <w:rsid w:val="00E00454"/>
    <w:rsid w:val="00E14BC7"/>
    <w:rsid w:val="00E1542D"/>
    <w:rsid w:val="00E2090D"/>
    <w:rsid w:val="00E35CE9"/>
    <w:rsid w:val="00E36205"/>
    <w:rsid w:val="00E429B0"/>
    <w:rsid w:val="00E42C79"/>
    <w:rsid w:val="00E42DFA"/>
    <w:rsid w:val="00E51E72"/>
    <w:rsid w:val="00E64986"/>
    <w:rsid w:val="00E76701"/>
    <w:rsid w:val="00E848D0"/>
    <w:rsid w:val="00E86C61"/>
    <w:rsid w:val="00EA276A"/>
    <w:rsid w:val="00EA43B6"/>
    <w:rsid w:val="00EC2C44"/>
    <w:rsid w:val="00EC2E75"/>
    <w:rsid w:val="00EE79C7"/>
    <w:rsid w:val="00F0673C"/>
    <w:rsid w:val="00F10DD6"/>
    <w:rsid w:val="00F20289"/>
    <w:rsid w:val="00F2749D"/>
    <w:rsid w:val="00F375AC"/>
    <w:rsid w:val="00F46AF3"/>
    <w:rsid w:val="00F60666"/>
    <w:rsid w:val="00F66213"/>
    <w:rsid w:val="00F73C45"/>
    <w:rsid w:val="00F740E4"/>
    <w:rsid w:val="00F87AC1"/>
    <w:rsid w:val="00F87B46"/>
    <w:rsid w:val="00F90064"/>
    <w:rsid w:val="00F902B6"/>
    <w:rsid w:val="00F9114A"/>
    <w:rsid w:val="00F92BC6"/>
    <w:rsid w:val="00F96076"/>
    <w:rsid w:val="00FB0C8B"/>
    <w:rsid w:val="00FB2B72"/>
    <w:rsid w:val="00FC5173"/>
    <w:rsid w:val="00FC6B8E"/>
    <w:rsid w:val="00FC73C5"/>
    <w:rsid w:val="00FE1C1D"/>
    <w:rsid w:val="00FE34E2"/>
    <w:rsid w:val="00FE635E"/>
    <w:rsid w:val="00FF5926"/>
    <w:rsid w:val="19C040D2"/>
    <w:rsid w:val="4F6109B1"/>
    <w:rsid w:val="78A3E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5966"/>
  <w15:chartTrackingRefBased/>
  <w15:docId w15:val="{2C45F6A4-AE93-46AE-BFFE-4700EDDF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M/S"/>
    <w:qFormat/>
    <w:rsid w:val="00F73C45"/>
    <w:pPr>
      <w:spacing w:before="50" w:after="50" w:line="276" w:lineRule="auto"/>
      <w:jc w:val="both"/>
    </w:pPr>
    <w:rPr>
      <w:rFonts w:ascii="Arial" w:eastAsia="Calibri" w:hAnsi="Arial" w:cs="Times New Roman"/>
      <w:color w:val="000000" w:themeColor="text1"/>
      <w:kern w:val="0"/>
      <w:sz w:val="18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6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7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7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7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7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7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7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745"/>
    <w:rPr>
      <w:i/>
      <w:iCs/>
      <w:color w:val="404040" w:themeColor="text1" w:themeTint="BF"/>
    </w:rPr>
  </w:style>
  <w:style w:type="paragraph" w:styleId="Akapitzlist">
    <w:name w:val="List Paragraph"/>
    <w:aliases w:val="Duża tabela"/>
    <w:basedOn w:val="Normalny"/>
    <w:uiPriority w:val="34"/>
    <w:qFormat/>
    <w:rsid w:val="006D67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7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7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74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4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4DE"/>
  </w:style>
  <w:style w:type="paragraph" w:styleId="Stopka">
    <w:name w:val="footer"/>
    <w:basedOn w:val="Normalny"/>
    <w:link w:val="StopkaZnak"/>
    <w:uiPriority w:val="99"/>
    <w:unhideWhenUsed/>
    <w:rsid w:val="00B74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4DE"/>
  </w:style>
  <w:style w:type="character" w:styleId="Hipercze">
    <w:name w:val="Hyperlink"/>
    <w:basedOn w:val="Domylnaczcionkaakapitu"/>
    <w:uiPriority w:val="99"/>
    <w:unhideWhenUsed/>
    <w:rsid w:val="00F73C45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F73C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5B64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Poprawka">
    <w:name w:val="Revision"/>
    <w:hidden/>
    <w:uiPriority w:val="99"/>
    <w:semiHidden/>
    <w:rsid w:val="0071279A"/>
    <w:pPr>
      <w:spacing w:after="0" w:line="240" w:lineRule="auto"/>
    </w:pPr>
    <w:rPr>
      <w:rFonts w:ascii="Arial" w:eastAsia="Calibri" w:hAnsi="Arial" w:cs="Times New Roman"/>
      <w:color w:val="000000" w:themeColor="text1"/>
      <w:kern w:val="0"/>
      <w:sz w:val="18"/>
      <w:szCs w:val="24"/>
      <w:lang w:val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5B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5B80"/>
    <w:rPr>
      <w:rFonts w:ascii="Arial" w:eastAsia="Calibri" w:hAnsi="Arial" w:cs="Times New Roman"/>
      <w:color w:val="000000" w:themeColor="text1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B80"/>
    <w:rPr>
      <w:rFonts w:ascii="Arial" w:eastAsia="Calibri" w:hAnsi="Arial" w:cs="Times New Roman"/>
      <w:b/>
      <w:bCs/>
      <w:color w:val="000000" w:themeColor="text1"/>
      <w:kern w:val="0"/>
      <w:sz w:val="20"/>
      <w:szCs w:val="20"/>
      <w:lang w:val="en-US"/>
      <w14:ligatures w14:val="none"/>
    </w:rPr>
  </w:style>
  <w:style w:type="paragraph" w:customStyle="1" w:styleId="Domylne">
    <w:name w:val="Domyślne"/>
    <w:rsid w:val="00F10DD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Numery">
    <w:name w:val="Numery"/>
    <w:rsid w:val="00F10DD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ichaelstrom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a48188-a4a3-4f26-b483-8822cc1153d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3157EC776A94397C0A84D7A2EDF7F" ma:contentTypeVersion="16" ma:contentTypeDescription="Create a new document." ma:contentTypeScope="" ma:versionID="9ecba9a04b0f738fa7a2ae9e147986b9">
  <xsd:schema xmlns:xsd="http://www.w3.org/2001/XMLSchema" xmlns:xs="http://www.w3.org/2001/XMLSchema" xmlns:p="http://schemas.microsoft.com/office/2006/metadata/properties" xmlns:ns2="57a48188-a4a3-4f26-b483-8822cc1153d1" xmlns:ns3="a3e29240-e191-42be-9eae-5618173c4803" targetNamespace="http://schemas.microsoft.com/office/2006/metadata/properties" ma:root="true" ma:fieldsID="c0c18207576e4b1f6ab1509a2fe37368" ns2:_="" ns3:_="">
    <xsd:import namespace="57a48188-a4a3-4f26-b483-8822cc1153d1"/>
    <xsd:import namespace="a3e29240-e191-42be-9eae-5618173c4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8188-a4a3-4f26-b483-8822cc115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29240-e191-42be-9eae-5618173c4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D4744-7A42-49BD-A3FF-A61046CA3F46}">
  <ds:schemaRefs>
    <ds:schemaRef ds:uri="http://schemas.microsoft.com/office/2006/metadata/properties"/>
    <ds:schemaRef ds:uri="http://schemas.microsoft.com/office/infopath/2007/PartnerControls"/>
    <ds:schemaRef ds:uri="57a48188-a4a3-4f26-b483-8822cc1153d1"/>
  </ds:schemaRefs>
</ds:datastoreItem>
</file>

<file path=customXml/itemProps2.xml><?xml version="1.0" encoding="utf-8"?>
<ds:datastoreItem xmlns:ds="http://schemas.openxmlformats.org/officeDocument/2006/customXml" ds:itemID="{02F5CF59-BB65-452D-82A8-E69D871F8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B041BE-8774-483A-93AE-23BA234A0C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C81DA-AAB7-4AAE-823B-F2EAB7111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48188-a4a3-4f26-b483-8822cc1153d1"/>
    <ds:schemaRef ds:uri="a3e29240-e191-42be-9eae-5618173c4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909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Gronowska CCG</dc:creator>
  <cp:keywords/>
  <dc:description/>
  <cp:lastModifiedBy>Aleksandra Habib CCG</cp:lastModifiedBy>
  <cp:revision>15</cp:revision>
  <dcterms:created xsi:type="dcterms:W3CDTF">2025-05-28T20:47:00Z</dcterms:created>
  <dcterms:modified xsi:type="dcterms:W3CDTF">2025-06-05T13:51:00Z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0x010100A7F3157EC776A94397C0A84D7A2EDF7F</vt:lpwstr>
  </property>
  <property fmtid="{D5CDD505-2E9C-101B-9397-08002B2CF9AE}" pid="3" name="MediaServiceImageTags">
    <vt:lpwstr/>
  </property>
</Properties>
</file>