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158FA" w14:textId="10660E77" w:rsidR="00455C2C" w:rsidRDefault="007B334E">
      <w:pPr>
        <w:tabs>
          <w:tab w:val="left" w:pos="930"/>
        </w:tabs>
        <w:spacing w:after="160"/>
        <w:jc w:val="right"/>
      </w:pPr>
      <w:r w:rsidRPr="00434B6A">
        <w:t xml:space="preserve">Gliwice, </w:t>
      </w:r>
      <w:r w:rsidR="00A61EAD">
        <w:t>10 grudnia</w:t>
      </w:r>
      <w:r w:rsidRPr="00434B6A">
        <w:t xml:space="preserve"> 202</w:t>
      </w:r>
      <w:r w:rsidR="002C1CD6" w:rsidRPr="00434B6A">
        <w:t>4</w:t>
      </w:r>
      <w:r w:rsidRPr="00434B6A">
        <w:t xml:space="preserve"> r.</w:t>
      </w:r>
    </w:p>
    <w:p w14:paraId="3436228D" w14:textId="11798E1D" w:rsidR="008B169E" w:rsidRDefault="00FD238B" w:rsidP="00DD5DB9">
      <w:pPr>
        <w:tabs>
          <w:tab w:val="left" w:pos="930"/>
        </w:tabs>
        <w:spacing w:after="0" w:line="240" w:lineRule="auto"/>
        <w:rPr>
          <w:b/>
          <w:bCs/>
          <w:color w:val="1F497D" w:themeColor="text2"/>
        </w:rPr>
      </w:pPr>
      <w:r>
        <w:rPr>
          <w:b/>
          <w:bCs/>
          <w:color w:val="1F497D" w:themeColor="text2"/>
        </w:rPr>
        <w:t>Polskie n</w:t>
      </w:r>
      <w:r w:rsidR="006B75B7">
        <w:rPr>
          <w:b/>
          <w:bCs/>
          <w:color w:val="1F497D" w:themeColor="text2"/>
        </w:rPr>
        <w:t>arzędzie</w:t>
      </w:r>
      <w:r w:rsidR="00AD3434">
        <w:rPr>
          <w:b/>
          <w:bCs/>
          <w:color w:val="1F497D" w:themeColor="text2"/>
        </w:rPr>
        <w:t xml:space="preserve"> dla szacowania śladu węgl</w:t>
      </w:r>
      <w:r w:rsidR="0076231F">
        <w:rPr>
          <w:b/>
          <w:bCs/>
          <w:color w:val="1F497D" w:themeColor="text2"/>
        </w:rPr>
        <w:t>owego budynków.</w:t>
      </w:r>
      <w:r w:rsidR="00AD3434">
        <w:rPr>
          <w:b/>
          <w:bCs/>
          <w:color w:val="1F497D" w:themeColor="text2"/>
        </w:rPr>
        <w:br/>
        <w:t>P</w:t>
      </w:r>
      <w:r w:rsidR="006B75B7">
        <w:rPr>
          <w:b/>
          <w:bCs/>
          <w:color w:val="1F497D" w:themeColor="text2"/>
        </w:rPr>
        <w:t>latforma edukacyjno-obliczeniowa FoCA</w:t>
      </w:r>
      <w:r w:rsidR="00AD3434">
        <w:rPr>
          <w:b/>
          <w:bCs/>
          <w:color w:val="1F497D" w:themeColor="text2"/>
        </w:rPr>
        <w:t>.</w:t>
      </w:r>
    </w:p>
    <w:p w14:paraId="39C17202" w14:textId="77777777" w:rsidR="00DD5DB9" w:rsidRPr="00DD5DB9" w:rsidRDefault="00DD5DB9" w:rsidP="00DD5DB9">
      <w:pPr>
        <w:tabs>
          <w:tab w:val="left" w:pos="930"/>
        </w:tabs>
        <w:spacing w:after="0" w:line="240" w:lineRule="auto"/>
        <w:rPr>
          <w:b/>
          <w:bCs/>
          <w:color w:val="1F497D" w:themeColor="text2"/>
        </w:rPr>
      </w:pPr>
    </w:p>
    <w:p w14:paraId="605878DA" w14:textId="1C09278D" w:rsidR="00A73203" w:rsidRDefault="00A73203" w:rsidP="00A73203">
      <w:pPr>
        <w:tabs>
          <w:tab w:val="left" w:pos="930"/>
        </w:tabs>
        <w:spacing w:after="0" w:line="240" w:lineRule="auto"/>
        <w:rPr>
          <w:b/>
          <w:bCs/>
        </w:rPr>
      </w:pPr>
      <w:r w:rsidRPr="00A73203">
        <w:rPr>
          <w:b/>
          <w:bCs/>
        </w:rPr>
        <w:t>Polskie Stowarzyszenie Budownictwa Ekologicznego PLGBC</w:t>
      </w:r>
      <w:r w:rsidR="0029083E">
        <w:rPr>
          <w:b/>
          <w:bCs/>
        </w:rPr>
        <w:t>,</w:t>
      </w:r>
      <w:r w:rsidR="00937DF3">
        <w:rPr>
          <w:b/>
          <w:bCs/>
        </w:rPr>
        <w:t xml:space="preserve"> we współpracy z </w:t>
      </w:r>
      <w:r w:rsidR="00615A70">
        <w:rPr>
          <w:b/>
          <w:bCs/>
        </w:rPr>
        <w:t>Instytut</w:t>
      </w:r>
      <w:r w:rsidR="00937DF3">
        <w:rPr>
          <w:b/>
          <w:bCs/>
        </w:rPr>
        <w:t>em</w:t>
      </w:r>
      <w:r w:rsidR="00615A70">
        <w:rPr>
          <w:b/>
          <w:bCs/>
        </w:rPr>
        <w:t xml:space="preserve"> Techniki Budowlanej</w:t>
      </w:r>
      <w:r w:rsidRPr="00A73203">
        <w:rPr>
          <w:b/>
          <w:bCs/>
        </w:rPr>
        <w:t xml:space="preserve"> </w:t>
      </w:r>
      <w:r w:rsidR="00CE16DE">
        <w:rPr>
          <w:b/>
          <w:bCs/>
        </w:rPr>
        <w:t>i Politechnik</w:t>
      </w:r>
      <w:r w:rsidR="00937DF3">
        <w:rPr>
          <w:b/>
          <w:bCs/>
        </w:rPr>
        <w:t>ą</w:t>
      </w:r>
      <w:r w:rsidR="00CE16DE">
        <w:rPr>
          <w:b/>
          <w:bCs/>
        </w:rPr>
        <w:t xml:space="preserve"> Wrocławsk</w:t>
      </w:r>
      <w:r w:rsidR="00937DF3">
        <w:rPr>
          <w:b/>
          <w:bCs/>
        </w:rPr>
        <w:t>ą</w:t>
      </w:r>
      <w:r w:rsidR="0029083E">
        <w:rPr>
          <w:b/>
          <w:bCs/>
        </w:rPr>
        <w:t>,</w:t>
      </w:r>
      <w:r w:rsidR="00CE16DE">
        <w:rPr>
          <w:b/>
          <w:bCs/>
        </w:rPr>
        <w:t xml:space="preserve"> opracowa</w:t>
      </w:r>
      <w:r w:rsidR="00937DF3">
        <w:rPr>
          <w:b/>
          <w:bCs/>
        </w:rPr>
        <w:t xml:space="preserve">ło </w:t>
      </w:r>
      <w:r w:rsidR="00C901F4">
        <w:rPr>
          <w:b/>
          <w:bCs/>
        </w:rPr>
        <w:t>bezpłatną</w:t>
      </w:r>
      <w:r w:rsidR="006D257C">
        <w:rPr>
          <w:b/>
          <w:bCs/>
        </w:rPr>
        <w:t xml:space="preserve"> </w:t>
      </w:r>
      <w:r w:rsidRPr="008B169E">
        <w:rPr>
          <w:b/>
          <w:bCs/>
        </w:rPr>
        <w:t>platformę edukacyjno-obliczeniową</w:t>
      </w:r>
      <w:r w:rsidR="00CE16DE">
        <w:rPr>
          <w:b/>
          <w:bCs/>
        </w:rPr>
        <w:t xml:space="preserve"> FoCA</w:t>
      </w:r>
      <w:r w:rsidR="00C901F4">
        <w:rPr>
          <w:b/>
          <w:bCs/>
        </w:rPr>
        <w:t xml:space="preserve">. Narzędzie </w:t>
      </w:r>
      <w:r w:rsidR="00CE16DE">
        <w:rPr>
          <w:b/>
          <w:bCs/>
        </w:rPr>
        <w:t>umożliwia</w:t>
      </w:r>
      <w:r w:rsidRPr="008B169E">
        <w:rPr>
          <w:b/>
          <w:bCs/>
        </w:rPr>
        <w:t xml:space="preserve"> szacowanie śladu węglowego budynku w zakresie A1-A3 cyklu życia budynków</w:t>
      </w:r>
      <w:r w:rsidR="00CE16DE">
        <w:rPr>
          <w:b/>
          <w:bCs/>
        </w:rPr>
        <w:t>,</w:t>
      </w:r>
      <w:r w:rsidR="006B75B7">
        <w:rPr>
          <w:b/>
          <w:bCs/>
        </w:rPr>
        <w:t xml:space="preserve"> dodawanie i</w:t>
      </w:r>
      <w:r w:rsidR="00CE16DE">
        <w:rPr>
          <w:b/>
          <w:bCs/>
        </w:rPr>
        <w:t xml:space="preserve"> porównywanie materiałów</w:t>
      </w:r>
      <w:r w:rsidR="00D35BA1">
        <w:rPr>
          <w:b/>
          <w:bCs/>
        </w:rPr>
        <w:t xml:space="preserve"> oraz </w:t>
      </w:r>
      <w:r w:rsidR="00CE16DE">
        <w:rPr>
          <w:b/>
          <w:bCs/>
        </w:rPr>
        <w:t>analizę środowiskową budynków</w:t>
      </w:r>
      <w:r w:rsidR="00D35BA1">
        <w:rPr>
          <w:b/>
          <w:bCs/>
        </w:rPr>
        <w:t>.</w:t>
      </w:r>
    </w:p>
    <w:p w14:paraId="17EB3D01" w14:textId="77777777" w:rsidR="00615A70" w:rsidRDefault="00615A70" w:rsidP="00A73203">
      <w:pPr>
        <w:tabs>
          <w:tab w:val="left" w:pos="930"/>
        </w:tabs>
        <w:spacing w:after="0" w:line="240" w:lineRule="auto"/>
        <w:rPr>
          <w:b/>
          <w:bCs/>
        </w:rPr>
      </w:pPr>
    </w:p>
    <w:p w14:paraId="2A3AB381" w14:textId="0C08892B" w:rsidR="006D257C" w:rsidRPr="003F384E" w:rsidRDefault="006D257C" w:rsidP="00A73203">
      <w:pPr>
        <w:tabs>
          <w:tab w:val="left" w:pos="930"/>
        </w:tabs>
        <w:spacing w:after="0" w:line="240" w:lineRule="auto"/>
      </w:pPr>
      <w:r w:rsidRPr="003F384E">
        <w:t xml:space="preserve">Interaktywna platforma internetowa FoCA stanowi </w:t>
      </w:r>
      <w:r w:rsidR="00E25C4C" w:rsidRPr="003F384E">
        <w:t>bazę edukacyjną dla użytkowników</w:t>
      </w:r>
      <w:r w:rsidR="003F384E" w:rsidRPr="003F384E">
        <w:t xml:space="preserve">, </w:t>
      </w:r>
      <w:r w:rsidR="00E25C4C" w:rsidRPr="003F384E">
        <w:t>dostarcz</w:t>
      </w:r>
      <w:r w:rsidR="003F384E" w:rsidRPr="003F384E">
        <w:t>a</w:t>
      </w:r>
      <w:r w:rsidR="00E25C4C" w:rsidRPr="003F384E">
        <w:t xml:space="preserve"> informacje o właściwościach środowiskowych materiałów i wyrobów budowlanych</w:t>
      </w:r>
      <w:r w:rsidR="00A61EAD">
        <w:t>. P</w:t>
      </w:r>
      <w:r w:rsidR="003F384E" w:rsidRPr="003F384E">
        <w:t xml:space="preserve">ozwala na szacowanie śladu węglowego budynków i przeprowadzanie analiz w tym zakresie. </w:t>
      </w:r>
      <w:r w:rsidR="003F384E">
        <w:t xml:space="preserve">Jest to </w:t>
      </w:r>
      <w:r w:rsidR="003F384E" w:rsidRPr="003F384E">
        <w:t>jedyna polska platforma z danymi środowiskowymi generycznymi dla polskich produktów</w:t>
      </w:r>
      <w:r w:rsidR="003F384E">
        <w:t xml:space="preserve">. </w:t>
      </w:r>
      <w:r w:rsidR="00A61EAD">
        <w:br/>
      </w:r>
      <w:r w:rsidR="00A61EAD">
        <w:br/>
      </w:r>
      <w:r w:rsidR="003F384E">
        <w:t xml:space="preserve">Narzędzie </w:t>
      </w:r>
      <w:r w:rsidR="00A61EAD">
        <w:t xml:space="preserve">opracowało </w:t>
      </w:r>
      <w:r w:rsidR="00A61EAD" w:rsidRPr="00A61EAD">
        <w:t xml:space="preserve">Polskie Stowarzyszenie Budownictwa Ekologicznego PLGBC we współpracy z Instytutem Techniki Budowlanej i Politechniką Wrocławską </w:t>
      </w:r>
      <w:r w:rsidR="003F384E">
        <w:t xml:space="preserve">w ramach projektu </w:t>
      </w:r>
      <w:r w:rsidR="003F384E" w:rsidRPr="003F384E">
        <w:rPr>
          <w:i/>
          <w:iCs/>
        </w:rPr>
        <w:t>Free of Carbon Architectur</w:t>
      </w:r>
      <w:r w:rsidR="007039F6">
        <w:rPr>
          <w:i/>
          <w:iCs/>
        </w:rPr>
        <w:t>e</w:t>
      </w:r>
      <w:r w:rsidR="00A61EAD">
        <w:rPr>
          <w:i/>
          <w:iCs/>
        </w:rPr>
        <w:t xml:space="preserve"> (FoCA), </w:t>
      </w:r>
      <w:r w:rsidR="00A61EAD" w:rsidRPr="00A61EAD">
        <w:t>który</w:t>
      </w:r>
      <w:r w:rsidR="003F384E" w:rsidRPr="00A61EAD">
        <w:t xml:space="preserve"> </w:t>
      </w:r>
      <w:r w:rsidR="003F384E" w:rsidRPr="003F384E">
        <w:t>dofinansowany jest z budżetu państwa przez Narodowe Centrum Badań i Rozwoju w ramach 33. konkursu Inicjatywy CORNET</w:t>
      </w:r>
      <w:r w:rsidR="003F384E">
        <w:t xml:space="preserve">.  </w:t>
      </w:r>
    </w:p>
    <w:p w14:paraId="6EA8F25D" w14:textId="77777777" w:rsidR="003F384E" w:rsidRPr="003F384E" w:rsidRDefault="003F384E" w:rsidP="00A73203">
      <w:pPr>
        <w:tabs>
          <w:tab w:val="left" w:pos="930"/>
        </w:tabs>
        <w:spacing w:after="0" w:line="240" w:lineRule="auto"/>
      </w:pPr>
    </w:p>
    <w:p w14:paraId="2E542391" w14:textId="060ADEB8" w:rsidR="00F87A60" w:rsidRDefault="00F87A60" w:rsidP="00A73203">
      <w:pPr>
        <w:tabs>
          <w:tab w:val="left" w:pos="930"/>
        </w:tabs>
        <w:spacing w:after="0" w:line="240" w:lineRule="auto"/>
      </w:pPr>
      <w:r>
        <w:t xml:space="preserve">Rozbudowany moduł edukacyjny platformy dostarcza zarówno podstawowych informacji na temat zmian klimatycznych, śladu węglowego, polityki klimatycznej ONZ, EU oraz Polski, jak </w:t>
      </w:r>
      <w:r w:rsidR="0029083E">
        <w:t>również wiedzy w obszarze</w:t>
      </w:r>
      <w:r>
        <w:t xml:space="preserve"> ocen</w:t>
      </w:r>
      <w:r w:rsidR="0029083E">
        <w:t>y</w:t>
      </w:r>
      <w:r>
        <w:t xml:space="preserve"> cyklu życia LCA</w:t>
      </w:r>
      <w:r w:rsidR="006B75B7">
        <w:t xml:space="preserve"> czy</w:t>
      </w:r>
      <w:r>
        <w:t xml:space="preserve"> </w:t>
      </w:r>
      <w:r w:rsidRPr="00F87A60">
        <w:t>Global Warming Potential (GWP</w:t>
      </w:r>
      <w:r>
        <w:t>). Użytkownicy znajdą</w:t>
      </w:r>
      <w:r w:rsidR="00A61EAD">
        <w:t xml:space="preserve"> </w:t>
      </w:r>
      <w:r w:rsidR="0029083E">
        <w:t xml:space="preserve">tu także </w:t>
      </w:r>
      <w:r w:rsidRPr="00F87A60">
        <w:t>przegląd</w:t>
      </w:r>
      <w:r>
        <w:t xml:space="preserve"> </w:t>
      </w:r>
      <w:r w:rsidRPr="00F87A60">
        <w:t>najważniejsz</w:t>
      </w:r>
      <w:r>
        <w:t xml:space="preserve">ych </w:t>
      </w:r>
      <w:r w:rsidRPr="00F87A60">
        <w:t>system</w:t>
      </w:r>
      <w:r>
        <w:t>ów</w:t>
      </w:r>
      <w:r w:rsidRPr="00F87A60">
        <w:t xml:space="preserve"> oceny wielokryterialnej, ze szczególnym uwzględnieniem wymagań dotyczących analiz i kryteriów LCA i GWP.</w:t>
      </w:r>
    </w:p>
    <w:p w14:paraId="6BB121E0" w14:textId="77777777" w:rsidR="00550439" w:rsidRDefault="00550439" w:rsidP="00A73203">
      <w:pPr>
        <w:tabs>
          <w:tab w:val="left" w:pos="930"/>
        </w:tabs>
        <w:spacing w:after="0" w:line="240" w:lineRule="auto"/>
      </w:pPr>
    </w:p>
    <w:p w14:paraId="2BFDD016" w14:textId="1F9627C7" w:rsidR="00F87A60" w:rsidRDefault="00B04524" w:rsidP="00A73203">
      <w:pPr>
        <w:tabs>
          <w:tab w:val="left" w:pos="930"/>
        </w:tabs>
        <w:spacing w:after="0" w:line="240" w:lineRule="auto"/>
      </w:pPr>
      <w:r w:rsidRPr="00B04524">
        <w:t>W ramach projektu wyselekcjonowano materiały, dla których jest możliwość pozyskania danych do opracowania deklaracji. Analizy oparte zostały na określonych i zlokalizowanych danych dostarczonych przez polskich producentów oraz danych ogólnych</w:t>
      </w:r>
      <w:r w:rsidR="00A61EAD">
        <w:t>,</w:t>
      </w:r>
      <w:r w:rsidRPr="00B04524">
        <w:t xml:space="preserve"> dostępnych w sprawdzonych europejskich bazach danych, takich jak Ecoinvent. </w:t>
      </w:r>
      <w:r w:rsidR="00A61EAD">
        <w:br/>
      </w:r>
      <w:r w:rsidRPr="00B04524">
        <w:t>Zakres LCA obejmuje oddziaływania występujące na etapie produktu, czyli obciążenia związane z wydobyciem i przetwarzaniem surowców, ich transportem do zakładu produkcyjnego oraz procesem produkcyjnym (tzw. od kołyski do bramy), wyrażone jako potencjał globalnego ocieplenia, zużycie energii pierwotnej odnawialnej i nieodnawialnej oraz zubożenie wody. Uproszczone deklaracje środowiskowe są przygotowane dla materiałów i wyrobów konwencjonalnych wykonanych z surowców pierwotnych oraz ich odpowiedników zawierających materiały pochodzące z recyklingu lub w 100% wykonanych z materiałów wtórnych.</w:t>
      </w:r>
    </w:p>
    <w:p w14:paraId="3C558985" w14:textId="77777777" w:rsidR="00B04524" w:rsidRDefault="00B04524" w:rsidP="00A73203">
      <w:pPr>
        <w:tabs>
          <w:tab w:val="left" w:pos="930"/>
        </w:tabs>
        <w:spacing w:after="0" w:line="240" w:lineRule="auto"/>
      </w:pPr>
    </w:p>
    <w:p w14:paraId="6FDAA363" w14:textId="5A56462F" w:rsidR="00B04524" w:rsidRDefault="00B04524" w:rsidP="00A73203">
      <w:pPr>
        <w:tabs>
          <w:tab w:val="left" w:pos="930"/>
        </w:tabs>
        <w:spacing w:after="0" w:line="240" w:lineRule="auto"/>
      </w:pPr>
      <w:r>
        <w:t>Po zalogowaniu użytkownik platformy ma możliwość</w:t>
      </w:r>
      <w:r w:rsidRPr="00B04524">
        <w:t xml:space="preserve"> wykonani</w:t>
      </w:r>
      <w:r>
        <w:t>a</w:t>
      </w:r>
      <w:r w:rsidRPr="00B04524">
        <w:t xml:space="preserve"> </w:t>
      </w:r>
      <w:r w:rsidR="00934EDE">
        <w:t xml:space="preserve">bezpłatnej </w:t>
      </w:r>
      <w:r w:rsidRPr="00B04524">
        <w:t>analizy budynku w zakresie szacowania wbudowanego śladu węglowego w fazach od A1 do A3, w ramach której można przeprowadzić optymalizację i przygotować raport z analizy.</w:t>
      </w:r>
      <w:r w:rsidR="006B75B7">
        <w:t xml:space="preserve"> Narzędzie posiada funkcjonalność definiowania oraz ręcznego wprowadzenia własnego materiału do bazy danych i porównania go z innymi, co zapewnia elastyczność i wygodę korzystania. </w:t>
      </w:r>
    </w:p>
    <w:p w14:paraId="64245053" w14:textId="77777777" w:rsidR="00B04524" w:rsidRDefault="00B04524" w:rsidP="00A73203">
      <w:pPr>
        <w:tabs>
          <w:tab w:val="left" w:pos="930"/>
        </w:tabs>
        <w:spacing w:after="0" w:line="240" w:lineRule="auto"/>
      </w:pPr>
    </w:p>
    <w:p w14:paraId="689E9C89" w14:textId="3193974F" w:rsidR="00260948" w:rsidRDefault="00A61EAD" w:rsidP="00A73203">
      <w:pPr>
        <w:tabs>
          <w:tab w:val="left" w:pos="930"/>
        </w:tabs>
        <w:spacing w:after="0" w:line="240" w:lineRule="auto"/>
      </w:pPr>
      <w:r>
        <w:rPr>
          <w:i/>
          <w:iCs/>
        </w:rPr>
        <w:t xml:space="preserve">- </w:t>
      </w:r>
      <w:r w:rsidR="00260948" w:rsidRPr="0048428A">
        <w:rPr>
          <w:i/>
          <w:iCs/>
        </w:rPr>
        <w:t>Platforma edukacyjno-obliczeniowa FoCA jest jedynym w swoim rodzaju i długo wyczekiwanym narzędziem dostarczającym informacji na temat śladu węglowego materiałów budowlanych w Polsce. Dla uczestników procesu budowlanego chcących je między sobą porównywać lub przeprowadzić analizę śladu węglowego budynku stało się to wreszcie możliwe</w:t>
      </w:r>
      <w:r w:rsidR="0029083E">
        <w:rPr>
          <w:i/>
          <w:iCs/>
        </w:rPr>
        <w:t>,</w:t>
      </w:r>
      <w:r w:rsidR="00260948" w:rsidRPr="0048428A">
        <w:rPr>
          <w:i/>
          <w:iCs/>
        </w:rPr>
        <w:t xml:space="preserve"> dzięki opracowaniu generycznych danych, do tej pory niedostępnych, dla ponad 100 najpopularniejszych materiałów bądź </w:t>
      </w:r>
      <w:r w:rsidR="00260948" w:rsidRPr="0048428A">
        <w:rPr>
          <w:i/>
          <w:iCs/>
        </w:rPr>
        <w:lastRenderedPageBreak/>
        <w:t>produktów budowlanych produkowanych w Polsce. Dzięki temu jesteśmy o krok bliżej do wdrożenia przepisów Dyrektywy EPBD zobowiązujących nas do wykonywania takich analiz</w:t>
      </w:r>
      <w:r w:rsidR="0029083E">
        <w:rPr>
          <w:i/>
          <w:iCs/>
        </w:rPr>
        <w:t xml:space="preserve"> </w:t>
      </w:r>
      <w:r w:rsidR="0029083E" w:rsidRPr="0048428A">
        <w:rPr>
          <w:i/>
          <w:iCs/>
        </w:rPr>
        <w:t>od 2028/2030 roku</w:t>
      </w:r>
      <w:r w:rsidR="00260948" w:rsidRPr="0048428A">
        <w:rPr>
          <w:i/>
          <w:iCs/>
        </w:rPr>
        <w:t>. Bardzo wartościowym dodatkiem jest też część edukacyjna, która w przystępny</w:t>
      </w:r>
      <w:r w:rsidR="0029083E">
        <w:rPr>
          <w:i/>
          <w:iCs/>
        </w:rPr>
        <w:t>,</w:t>
      </w:r>
      <w:r w:rsidR="00260948" w:rsidRPr="0048428A">
        <w:rPr>
          <w:i/>
          <w:iCs/>
        </w:rPr>
        <w:t xml:space="preserve"> ale też wyczerpujący sposób omawia, na podstawie udostępnionych źródeł, podstawowe elementy teorii LCA, deklaracji EPD, systemów certyfikacji</w:t>
      </w:r>
      <w:r w:rsidR="0029083E">
        <w:rPr>
          <w:i/>
          <w:iCs/>
        </w:rPr>
        <w:t>,</w:t>
      </w:r>
      <w:r w:rsidR="00260948" w:rsidRPr="0048428A">
        <w:rPr>
          <w:i/>
          <w:iCs/>
        </w:rPr>
        <w:t xml:space="preserve"> a także polityki dekarbonizacyjnej na poziomie ONZ, Unii Europejskiej oraz Polski. Polecam na każdym etapie praktyki zawodowej oraz edukacji!</w:t>
      </w:r>
      <w:r w:rsidR="00260948">
        <w:rPr>
          <w:i/>
          <w:iCs/>
        </w:rPr>
        <w:t xml:space="preserve"> </w:t>
      </w:r>
      <w:r w:rsidR="006B75B7">
        <w:rPr>
          <w:i/>
          <w:iCs/>
        </w:rPr>
        <w:t xml:space="preserve">– </w:t>
      </w:r>
      <w:r w:rsidR="0029083E">
        <w:t>M</w:t>
      </w:r>
      <w:r w:rsidR="006B75B7" w:rsidRPr="00A61EAD">
        <w:t>ówi d</w:t>
      </w:r>
      <w:r w:rsidR="00260948" w:rsidRPr="00A61EAD">
        <w:t>r</w:t>
      </w:r>
      <w:r w:rsidR="00260948" w:rsidRPr="00042CC6">
        <w:t xml:space="preserve"> inż. arch. </w:t>
      </w:r>
      <w:r w:rsidR="00260948" w:rsidRPr="00A61EAD">
        <w:rPr>
          <w:b/>
          <w:bCs/>
        </w:rPr>
        <w:t>Kajetan Sadowski</w:t>
      </w:r>
      <w:r w:rsidR="000B563B">
        <w:t xml:space="preserve">, Wydział Architektury </w:t>
      </w:r>
      <w:r w:rsidR="00260948" w:rsidRPr="00042CC6">
        <w:t>Politechnik</w:t>
      </w:r>
      <w:r w:rsidR="000B563B">
        <w:t>i</w:t>
      </w:r>
      <w:r w:rsidR="00260948" w:rsidRPr="00042CC6">
        <w:t xml:space="preserve"> Wrocławsk</w:t>
      </w:r>
      <w:r w:rsidR="000B563B">
        <w:t>iej</w:t>
      </w:r>
      <w:r w:rsidR="006B75B7">
        <w:t xml:space="preserve">, współautor platformy edukacyjno-obliczeniowej FoCA.  </w:t>
      </w:r>
    </w:p>
    <w:p w14:paraId="06362080" w14:textId="77777777" w:rsidR="00260948" w:rsidRDefault="00260948" w:rsidP="00A73203">
      <w:pPr>
        <w:tabs>
          <w:tab w:val="left" w:pos="930"/>
        </w:tabs>
        <w:spacing w:after="0" w:line="240" w:lineRule="auto"/>
      </w:pPr>
    </w:p>
    <w:p w14:paraId="553E0643" w14:textId="7A1BFCE9" w:rsidR="00B04524" w:rsidRDefault="00B04524" w:rsidP="00A73203">
      <w:pPr>
        <w:tabs>
          <w:tab w:val="left" w:pos="930"/>
        </w:tabs>
        <w:spacing w:after="0" w:line="240" w:lineRule="auto"/>
      </w:pPr>
      <w:r>
        <w:t xml:space="preserve">Aby korzystać z </w:t>
      </w:r>
      <w:r w:rsidRPr="00B04524">
        <w:t>platformy FoCA</w:t>
      </w:r>
      <w:r>
        <w:t xml:space="preserve"> nie trzeba posiadać specjalistycznej wiedzy</w:t>
      </w:r>
      <w:r w:rsidRPr="00B04524">
        <w:t xml:space="preserve">. </w:t>
      </w:r>
      <w:r>
        <w:t>Narzędzie</w:t>
      </w:r>
      <w:r w:rsidRPr="00B04524">
        <w:t xml:space="preserve"> jest zaprojektowan</w:t>
      </w:r>
      <w:r>
        <w:t>e</w:t>
      </w:r>
      <w:r w:rsidRPr="00B04524">
        <w:t xml:space="preserve"> tak, aby wspierać zarówno przedstawicieli MŚP, jak i inne zainteresowane strony, dostarczając praktycznych informacji oraz edukując użytkowników na temat wpływu materiałów budowlanych na środowisko.</w:t>
      </w:r>
      <w:r w:rsidR="000B563B">
        <w:t xml:space="preserve"> </w:t>
      </w:r>
      <w:r w:rsidR="000B563B" w:rsidRPr="000B563B">
        <w:t>Przygotowywan</w:t>
      </w:r>
      <w:r w:rsidR="000B563B">
        <w:t>e narzędzie</w:t>
      </w:r>
      <w:r w:rsidR="000B563B" w:rsidRPr="000B563B">
        <w:t xml:space="preserve"> to pierwszy krok w celu upowszechniania </w:t>
      </w:r>
      <w:r w:rsidR="000B563B">
        <w:t>analizy w zakresie szacowania wbudowanego śladu węglowego w fazach od A1 do A3.</w:t>
      </w:r>
    </w:p>
    <w:p w14:paraId="3B88E6C0" w14:textId="77777777" w:rsidR="00A73203" w:rsidRDefault="00A73203" w:rsidP="00A73203">
      <w:pPr>
        <w:tabs>
          <w:tab w:val="left" w:pos="930"/>
        </w:tabs>
        <w:spacing w:after="0" w:line="240" w:lineRule="auto"/>
        <w:rPr>
          <w:b/>
          <w:bCs/>
        </w:rPr>
      </w:pPr>
    </w:p>
    <w:p w14:paraId="52038FA7" w14:textId="5636A447" w:rsidR="0048428A" w:rsidRPr="00A61EAD" w:rsidRDefault="00A61EAD" w:rsidP="00A73203">
      <w:pPr>
        <w:tabs>
          <w:tab w:val="left" w:pos="930"/>
        </w:tabs>
        <w:spacing w:after="0" w:line="240" w:lineRule="auto"/>
      </w:pPr>
      <w:r w:rsidRPr="00A61EAD">
        <w:t>Porównuj materiały i zmniejszaj ślad węglowy swoich</w:t>
      </w:r>
      <w:r w:rsidR="00051411">
        <w:t xml:space="preserve"> budynków,</w:t>
      </w:r>
      <w:r w:rsidRPr="00A61EAD">
        <w:br/>
        <w:t>poznaj platformę do analizy środowiskowej budynków FoCA:</w:t>
      </w:r>
      <w:r w:rsidRPr="00A61EAD">
        <w:br/>
      </w:r>
      <w:hyperlink r:id="rId8" w:history="1">
        <w:r w:rsidRPr="00682B32">
          <w:rPr>
            <w:rStyle w:val="Hipercze"/>
          </w:rPr>
          <w:t>https://foca.plgbc.org.pl/</w:t>
        </w:r>
      </w:hyperlink>
    </w:p>
    <w:p w14:paraId="592BBEC0" w14:textId="77777777" w:rsidR="00A61EAD" w:rsidRPr="00A61EAD" w:rsidRDefault="00A61EAD" w:rsidP="00A73203">
      <w:pPr>
        <w:tabs>
          <w:tab w:val="left" w:pos="930"/>
        </w:tabs>
        <w:spacing w:after="0" w:line="240" w:lineRule="auto"/>
      </w:pPr>
    </w:p>
    <w:p w14:paraId="2F6FCA30" w14:textId="77777777" w:rsidR="0048428A" w:rsidRPr="0048428A" w:rsidRDefault="0048428A" w:rsidP="00A73203">
      <w:pPr>
        <w:tabs>
          <w:tab w:val="left" w:pos="930"/>
        </w:tabs>
        <w:spacing w:after="0" w:line="240" w:lineRule="auto"/>
        <w:rPr>
          <w:i/>
          <w:iCs/>
        </w:rPr>
      </w:pPr>
    </w:p>
    <w:p w14:paraId="3098201A" w14:textId="77777777" w:rsidR="0014590E" w:rsidRPr="00615A70" w:rsidRDefault="0014590E" w:rsidP="0014590E">
      <w:pPr>
        <w:tabs>
          <w:tab w:val="left" w:pos="930"/>
        </w:tabs>
        <w:spacing w:after="0" w:line="240" w:lineRule="auto"/>
        <w:rPr>
          <w:color w:val="FF0000"/>
        </w:rPr>
      </w:pPr>
    </w:p>
    <w:p w14:paraId="1703F5E0" w14:textId="77777777" w:rsidR="008B169E" w:rsidRPr="00615A70" w:rsidRDefault="008B169E" w:rsidP="008B169E">
      <w:pPr>
        <w:tabs>
          <w:tab w:val="left" w:pos="930"/>
        </w:tabs>
        <w:spacing w:after="0" w:line="240" w:lineRule="auto"/>
        <w:rPr>
          <w:color w:val="FF0000"/>
        </w:rPr>
      </w:pPr>
    </w:p>
    <w:p w14:paraId="2679C2A1" w14:textId="77777777" w:rsidR="00682B32" w:rsidRDefault="00682B32">
      <w:pPr>
        <w:shd w:val="clear" w:color="auto" w:fill="FFFFFF"/>
        <w:spacing w:after="0" w:line="240" w:lineRule="auto"/>
        <w:jc w:val="both"/>
        <w:rPr>
          <w:bCs/>
        </w:rPr>
      </w:pPr>
    </w:p>
    <w:p w14:paraId="1AB4504B" w14:textId="77777777" w:rsidR="00682B32" w:rsidRDefault="00682B32">
      <w:pPr>
        <w:shd w:val="clear" w:color="auto" w:fill="FFFFFF"/>
        <w:spacing w:after="0" w:line="240" w:lineRule="auto"/>
        <w:jc w:val="both"/>
        <w:rPr>
          <w:bCs/>
        </w:rPr>
      </w:pPr>
    </w:p>
    <w:p w14:paraId="34ECF7C3" w14:textId="77777777" w:rsidR="00682B32" w:rsidRDefault="00682B32">
      <w:pPr>
        <w:shd w:val="clear" w:color="auto" w:fill="FFFFFF"/>
        <w:spacing w:after="0" w:line="240" w:lineRule="auto"/>
        <w:jc w:val="both"/>
        <w:rPr>
          <w:bCs/>
        </w:rPr>
      </w:pPr>
    </w:p>
    <w:p w14:paraId="3062AA0E" w14:textId="77777777" w:rsidR="00682B32" w:rsidRDefault="00682B32">
      <w:pPr>
        <w:shd w:val="clear" w:color="auto" w:fill="FFFFFF"/>
        <w:spacing w:after="0" w:line="240" w:lineRule="auto"/>
        <w:jc w:val="both"/>
        <w:rPr>
          <w:bCs/>
        </w:rPr>
      </w:pPr>
    </w:p>
    <w:p w14:paraId="361B5276" w14:textId="77777777" w:rsidR="00682B32" w:rsidRDefault="00682B32">
      <w:pPr>
        <w:shd w:val="clear" w:color="auto" w:fill="FFFFFF"/>
        <w:spacing w:after="0" w:line="240" w:lineRule="auto"/>
        <w:jc w:val="both"/>
        <w:rPr>
          <w:bCs/>
        </w:rPr>
      </w:pPr>
    </w:p>
    <w:p w14:paraId="2D79FCC6" w14:textId="77777777" w:rsidR="00682B32" w:rsidRDefault="00682B32">
      <w:pPr>
        <w:shd w:val="clear" w:color="auto" w:fill="FFFFFF"/>
        <w:spacing w:after="0" w:line="240" w:lineRule="auto"/>
        <w:jc w:val="both"/>
        <w:rPr>
          <w:bCs/>
        </w:rPr>
      </w:pPr>
    </w:p>
    <w:p w14:paraId="4C5608E2" w14:textId="77777777" w:rsidR="00682B32" w:rsidRDefault="00682B32">
      <w:pPr>
        <w:shd w:val="clear" w:color="auto" w:fill="FFFFFF"/>
        <w:spacing w:after="0" w:line="240" w:lineRule="auto"/>
        <w:jc w:val="both"/>
        <w:rPr>
          <w:bCs/>
        </w:rPr>
      </w:pPr>
    </w:p>
    <w:p w14:paraId="7C27BDF6" w14:textId="77777777" w:rsidR="00682B32" w:rsidRDefault="00682B32">
      <w:pPr>
        <w:shd w:val="clear" w:color="auto" w:fill="FFFFFF"/>
        <w:spacing w:after="0" w:line="240" w:lineRule="auto"/>
        <w:jc w:val="both"/>
        <w:rPr>
          <w:bCs/>
        </w:rPr>
      </w:pPr>
    </w:p>
    <w:p w14:paraId="1E45D537" w14:textId="55B996CF" w:rsidR="00EC6BB7" w:rsidRPr="00EC6BB7" w:rsidRDefault="009E6CBE">
      <w:pPr>
        <w:shd w:val="clear" w:color="auto" w:fill="FFFFFF"/>
        <w:spacing w:after="0" w:line="240" w:lineRule="auto"/>
        <w:jc w:val="both"/>
        <w:rPr>
          <w:bCs/>
        </w:rPr>
      </w:pPr>
      <w:r>
        <w:rPr>
          <w:bCs/>
        </w:rPr>
        <w:t>---</w:t>
      </w:r>
      <w:r>
        <w:rPr>
          <w:bCs/>
        </w:rPr>
        <w:br/>
      </w:r>
    </w:p>
    <w:p w14:paraId="36E4AD28" w14:textId="1CBF980C" w:rsidR="00455C2C" w:rsidRDefault="007B334E">
      <w:pPr>
        <w:shd w:val="clear" w:color="auto" w:fill="FFFFFF"/>
        <w:spacing w:after="0" w:line="240" w:lineRule="auto"/>
        <w:jc w:val="both"/>
        <w:rPr>
          <w:b/>
        </w:rPr>
      </w:pPr>
      <w:r>
        <w:rPr>
          <w:b/>
        </w:rPr>
        <w:t>O Polskim Stowarzyszeniu Budownictwa Ekologicznego PLGBC</w:t>
      </w:r>
    </w:p>
    <w:p w14:paraId="7DD398B7" w14:textId="77777777" w:rsidR="00455C2C" w:rsidRDefault="00455C2C">
      <w:pPr>
        <w:shd w:val="clear" w:color="auto" w:fill="FFFFFF"/>
        <w:spacing w:after="0" w:line="240" w:lineRule="auto"/>
        <w:jc w:val="both"/>
        <w:rPr>
          <w:color w:val="444444"/>
        </w:rPr>
      </w:pPr>
    </w:p>
    <w:p w14:paraId="3996A5BC" w14:textId="77777777" w:rsidR="00455C2C" w:rsidRPr="003B261E" w:rsidRDefault="007B334E">
      <w:pPr>
        <w:spacing w:after="0" w:line="240" w:lineRule="auto"/>
        <w:rPr>
          <w:b/>
        </w:rPr>
      </w:pPr>
      <w:r>
        <w:t xml:space="preserve">Polskie Stowarzyszenie Budownictwa Ekologicznego </w:t>
      </w:r>
      <w:hyperlink r:id="rId9">
        <w:r>
          <w:rPr>
            <w:color w:val="0000FF"/>
            <w:u w:val="single"/>
          </w:rPr>
          <w:t>PLGBC</w:t>
        </w:r>
      </w:hyperlink>
      <w:r>
        <w:t xml:space="preserve"> (Polish Green Building Council) jest organizacją pozarządową, która od 2008 roku </w:t>
      </w:r>
      <w:r w:rsidRPr="00434B6A">
        <w:rPr>
          <w:highlight w:val="white"/>
        </w:rPr>
        <w:t>realizuje działania dla transformacji budynków, miast i</w:t>
      </w:r>
      <w:r w:rsidRPr="00434B6A">
        <w:rPr>
          <w:b/>
          <w:highlight w:val="white"/>
        </w:rPr>
        <w:t xml:space="preserve"> </w:t>
      </w:r>
      <w:r w:rsidRPr="00434B6A">
        <w:rPr>
          <w:highlight w:val="white"/>
        </w:rPr>
        <w:t>ich otoczenia</w:t>
      </w:r>
      <w:r w:rsidRPr="00434B6A">
        <w:rPr>
          <w:b/>
          <w:highlight w:val="white"/>
        </w:rPr>
        <w:t> </w:t>
      </w:r>
      <w:r w:rsidRPr="00434B6A">
        <w:rPr>
          <w:highlight w:val="white"/>
        </w:rPr>
        <w:t>w takim kierunku, aby sposób ich planowania, projektowania, wznoszenia,</w:t>
      </w:r>
      <w:r w:rsidRPr="00434B6A">
        <w:rPr>
          <w:b/>
          <w:highlight w:val="white"/>
        </w:rPr>
        <w:t xml:space="preserve"> </w:t>
      </w:r>
      <w:r w:rsidRPr="00434B6A">
        <w:rPr>
          <w:highlight w:val="white"/>
        </w:rPr>
        <w:t>użytkowania, modernizowania, rozbierania i przetwarzania był jak najbardziej zrównoważony</w:t>
      </w:r>
      <w:r w:rsidRPr="00434B6A">
        <w:rPr>
          <w:b/>
          <w:highlight w:val="white"/>
        </w:rPr>
        <w:t>.</w:t>
      </w:r>
    </w:p>
    <w:p w14:paraId="6360DD82" w14:textId="77777777" w:rsidR="00455C2C" w:rsidRPr="003B261E" w:rsidRDefault="00455C2C">
      <w:pPr>
        <w:spacing w:after="0" w:line="240" w:lineRule="auto"/>
      </w:pPr>
    </w:p>
    <w:p w14:paraId="161EB79E" w14:textId="77777777" w:rsidR="00455C2C" w:rsidRPr="003B261E" w:rsidRDefault="007B334E">
      <w:pPr>
        <w:spacing w:after="0" w:line="240" w:lineRule="auto"/>
        <w:rPr>
          <w:b/>
          <w:highlight w:val="white"/>
        </w:rPr>
      </w:pPr>
      <w:r w:rsidRPr="00434B6A">
        <w:rPr>
          <w:highlight w:val="white"/>
        </w:rPr>
        <w:t xml:space="preserve">Organizacja wspiera tworzenie zrównoważonych budynków dla wszystkich </w:t>
      </w:r>
      <w:r w:rsidRPr="003B261E">
        <w:rPr>
          <w:highlight w:val="white"/>
        </w:rPr>
        <w:t>poprzez</w:t>
      </w:r>
      <w:r w:rsidRPr="003B261E">
        <w:rPr>
          <w:b/>
          <w:highlight w:val="white"/>
        </w:rPr>
        <w:t>:</w:t>
      </w:r>
    </w:p>
    <w:p w14:paraId="3376F7C0" w14:textId="77777777" w:rsidR="00455C2C" w:rsidRPr="00434B6A" w:rsidRDefault="007B334E">
      <w:pPr>
        <w:numPr>
          <w:ilvl w:val="0"/>
          <w:numId w:val="1"/>
        </w:numPr>
        <w:shd w:val="clear" w:color="auto" w:fill="FFFFFF"/>
        <w:spacing w:after="0" w:line="240" w:lineRule="auto"/>
        <w:ind w:left="1020"/>
      </w:pPr>
      <w:r w:rsidRPr="00434B6A">
        <w:t>powstrzymanie zmian klimatu oraz adaptację do nowych warunków,</w:t>
      </w:r>
    </w:p>
    <w:p w14:paraId="760B41EF" w14:textId="77777777" w:rsidR="00455C2C" w:rsidRPr="00434B6A" w:rsidRDefault="007B334E">
      <w:pPr>
        <w:numPr>
          <w:ilvl w:val="0"/>
          <w:numId w:val="1"/>
        </w:numPr>
        <w:shd w:val="clear" w:color="auto" w:fill="FFFFFF"/>
        <w:spacing w:after="0" w:line="240" w:lineRule="auto"/>
        <w:ind w:left="1020"/>
      </w:pPr>
      <w:r w:rsidRPr="00434B6A">
        <w:t>stosowanie zasad gospodarki o obiegu zamkniętym,</w:t>
      </w:r>
    </w:p>
    <w:p w14:paraId="28ED6F14" w14:textId="77777777" w:rsidR="00455C2C" w:rsidRPr="00434B6A" w:rsidRDefault="007B334E">
      <w:pPr>
        <w:numPr>
          <w:ilvl w:val="0"/>
          <w:numId w:val="1"/>
        </w:numPr>
        <w:shd w:val="clear" w:color="auto" w:fill="FFFFFF"/>
        <w:spacing w:after="0" w:line="240" w:lineRule="auto"/>
        <w:ind w:left="1020"/>
      </w:pPr>
      <w:r w:rsidRPr="00434B6A">
        <w:t>podnoszenie poziomu dobrostanu, jakości życia i zdrowia społeczeństwa,</w:t>
      </w:r>
    </w:p>
    <w:p w14:paraId="37CB127B" w14:textId="77777777" w:rsidR="00455C2C" w:rsidRPr="00434B6A" w:rsidRDefault="007B334E">
      <w:pPr>
        <w:numPr>
          <w:ilvl w:val="0"/>
          <w:numId w:val="1"/>
        </w:numPr>
        <w:shd w:val="clear" w:color="auto" w:fill="FFFFFF"/>
        <w:spacing w:after="0" w:line="240" w:lineRule="auto"/>
        <w:ind w:left="1020"/>
      </w:pPr>
      <w:r w:rsidRPr="00434B6A">
        <w:t>zwiększanie bioróżnorodności.</w:t>
      </w:r>
    </w:p>
    <w:p w14:paraId="0490C5B7" w14:textId="77777777" w:rsidR="00455C2C" w:rsidRDefault="00455C2C">
      <w:pPr>
        <w:spacing w:after="0" w:line="240" w:lineRule="auto"/>
      </w:pPr>
    </w:p>
    <w:p w14:paraId="40FDA677" w14:textId="447F64F5" w:rsidR="00455C2C" w:rsidRDefault="007B334E">
      <w:pPr>
        <w:spacing w:after="0" w:line="240" w:lineRule="auto"/>
      </w:pPr>
      <w:r>
        <w:t xml:space="preserve">PLGBC stanowi część globalnej społeczności </w:t>
      </w:r>
      <w:r w:rsidR="00662D3E">
        <w:t>80</w:t>
      </w:r>
      <w:r>
        <w:t xml:space="preserve"> organizacji green building councils skupionych w ramach </w:t>
      </w:r>
      <w:hyperlink r:id="rId10">
        <w:r>
          <w:rPr>
            <w:color w:val="0000FF"/>
            <w:u w:val="single"/>
          </w:rPr>
          <w:t>World Green Building Council</w:t>
        </w:r>
      </w:hyperlink>
      <w:r>
        <w:t>.</w:t>
      </w:r>
    </w:p>
    <w:p w14:paraId="5DE80AC8" w14:textId="77777777" w:rsidR="00455C2C" w:rsidRDefault="00455C2C">
      <w:pPr>
        <w:spacing w:after="0" w:line="240" w:lineRule="auto"/>
      </w:pPr>
    </w:p>
    <w:p w14:paraId="39C61CEC" w14:textId="5E03FB8E" w:rsidR="00455C2C" w:rsidRDefault="007B334E" w:rsidP="00682B32">
      <w:pPr>
        <w:spacing w:after="0" w:line="240" w:lineRule="auto"/>
        <w:jc w:val="both"/>
      </w:pPr>
      <w:hyperlink r:id="rId11">
        <w:r>
          <w:rPr>
            <w:color w:val="0000FF"/>
            <w:u w:val="single"/>
          </w:rPr>
          <w:t>https://plgbc.org.pl</w:t>
        </w:r>
      </w:hyperlink>
    </w:p>
    <w:sectPr w:rsidR="00455C2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63859" w14:textId="77777777" w:rsidR="007B334E" w:rsidRDefault="007B334E">
      <w:pPr>
        <w:spacing w:after="0" w:line="240" w:lineRule="auto"/>
      </w:pPr>
      <w:r>
        <w:separator/>
      </w:r>
    </w:p>
  </w:endnote>
  <w:endnote w:type="continuationSeparator" w:id="0">
    <w:p w14:paraId="0DF0A013" w14:textId="77777777" w:rsidR="007B334E" w:rsidRDefault="007B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BA720" w14:textId="77777777" w:rsidR="00455C2C" w:rsidRDefault="00455C2C">
    <w:pPr>
      <w:spacing w:after="0" w:line="240" w:lineRule="auto"/>
      <w:jc w:val="center"/>
      <w:rPr>
        <w:rFonts w:ascii="Century Gothic" w:eastAsia="Century Gothic" w:hAnsi="Century Gothic" w:cs="Century Gothic"/>
        <w:color w:val="64942F"/>
        <w:sz w:val="18"/>
        <w:szCs w:val="18"/>
      </w:rPr>
    </w:pPr>
  </w:p>
  <w:p w14:paraId="5A67624C" w14:textId="77777777" w:rsidR="00455C2C" w:rsidRDefault="007B334E">
    <w:pPr>
      <w:spacing w:after="0" w:line="240" w:lineRule="auto"/>
      <w:jc w:val="center"/>
      <w:rPr>
        <w:rFonts w:ascii="Century Gothic" w:eastAsia="Century Gothic" w:hAnsi="Century Gothic" w:cs="Century Gothic"/>
        <w:b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Polskie Stowarzyszenie Budownictwa Ekologicznego | Polish Green Building Council</w:t>
    </w:r>
    <w:r>
      <w:rPr>
        <w:rFonts w:ascii="Century Gothic" w:eastAsia="Century Gothic" w:hAnsi="Century Gothic" w:cs="Century Gothic"/>
        <w:b/>
        <w:color w:val="000000"/>
        <w:sz w:val="18"/>
        <w:szCs w:val="18"/>
      </w:rPr>
      <w:t xml:space="preserve"> (PLGBC)</w:t>
    </w:r>
  </w:p>
  <w:p w14:paraId="4B32D81F" w14:textId="7D77CB88" w:rsidR="00455C2C" w:rsidRDefault="007B334E">
    <w:pPr>
      <w:tabs>
        <w:tab w:val="center" w:pos="4536"/>
        <w:tab w:val="left" w:pos="7905"/>
      </w:tabs>
      <w:spacing w:after="0" w:line="240" w:lineRule="auto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ab/>
      <w:t>44-100 Gliwice, ul.</w:t>
    </w:r>
    <w:r w:rsidR="00856A05">
      <w:rPr>
        <w:rFonts w:ascii="Century Gothic" w:eastAsia="Century Gothic" w:hAnsi="Century Gothic" w:cs="Century Gothic"/>
        <w:color w:val="000000"/>
        <w:sz w:val="16"/>
        <w:szCs w:val="16"/>
      </w:rPr>
      <w:t xml:space="preserve"> Zabrska 39d</w:t>
    </w: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</w:t>
    </w:r>
    <w:r>
      <w:rPr>
        <w:rFonts w:ascii="Century Gothic" w:eastAsia="Century Gothic" w:hAnsi="Century Gothic" w:cs="Century Gothic"/>
        <w:color w:val="000000"/>
        <w:sz w:val="16"/>
        <w:szCs w:val="16"/>
      </w:rPr>
      <w:tab/>
    </w:r>
  </w:p>
  <w:p w14:paraId="789A0748" w14:textId="77777777" w:rsidR="00455C2C" w:rsidRDefault="007B33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>Tel. +48.</w:t>
    </w:r>
    <w:r>
      <w:rPr>
        <w:rFonts w:ascii="Century Gothic" w:eastAsia="Century Gothic" w:hAnsi="Century Gothic" w:cs="Century Gothic"/>
        <w:b/>
        <w:color w:val="000000"/>
        <w:sz w:val="16"/>
        <w:szCs w:val="16"/>
      </w:rPr>
      <w:t xml:space="preserve"> </w:t>
    </w:r>
    <w:r>
      <w:rPr>
        <w:rFonts w:ascii="Century Gothic" w:eastAsia="Century Gothic" w:hAnsi="Century Gothic" w:cs="Century Gothic"/>
        <w:color w:val="000000"/>
        <w:sz w:val="16"/>
        <w:szCs w:val="16"/>
      </w:rPr>
      <w:t>515.280.575 | plgbc.org.pl</w:t>
    </w:r>
  </w:p>
  <w:p w14:paraId="4816562F" w14:textId="77777777" w:rsidR="00455C2C" w:rsidRDefault="007B33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>KRS: 0000317576 | NIP (VAT No.): 631 257 96 51 | Regon: 241 056 815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8BB45" w14:textId="77777777" w:rsidR="007B334E" w:rsidRDefault="007B334E">
      <w:pPr>
        <w:spacing w:after="0" w:line="240" w:lineRule="auto"/>
      </w:pPr>
      <w:r>
        <w:separator/>
      </w:r>
    </w:p>
  </w:footnote>
  <w:footnote w:type="continuationSeparator" w:id="0">
    <w:p w14:paraId="4E227022" w14:textId="77777777" w:rsidR="007B334E" w:rsidRDefault="007B3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0FC37" w14:textId="77777777" w:rsidR="00455C2C" w:rsidRDefault="007B33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entury Gothic" w:eastAsia="Century Gothic" w:hAnsi="Century Gothic" w:cs="Century Gothic"/>
        <w:b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CF50C68" wp14:editId="3FE9E446">
          <wp:simplePos x="0" y="0"/>
          <wp:positionH relativeFrom="column">
            <wp:posOffset>-511174</wp:posOffset>
          </wp:positionH>
          <wp:positionV relativeFrom="paragraph">
            <wp:posOffset>-275589</wp:posOffset>
          </wp:positionV>
          <wp:extent cx="2099945" cy="717550"/>
          <wp:effectExtent l="0" t="0" r="0" b="0"/>
          <wp:wrapSquare wrapText="bothSides" distT="0" distB="0" distL="114300" distR="114300"/>
          <wp:docPr id="2" name="image1.png" descr="Y:\BAZA\04. Marketing\00.Logo\01.Logo main PL\PLGBC LOGO_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Y:\BAZA\04. Marketing\00.Logo\01.Logo main PL\PLGBC LOGO_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9945" cy="717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788C85" w14:textId="77777777" w:rsidR="00455C2C" w:rsidRDefault="00455C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63"/>
      </w:tabs>
      <w:spacing w:after="0" w:line="240" w:lineRule="auto"/>
      <w:rPr>
        <w:color w:val="000000"/>
      </w:rPr>
    </w:pPr>
  </w:p>
  <w:p w14:paraId="6DB3892E" w14:textId="77777777" w:rsidR="00455C2C" w:rsidRDefault="007B33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63"/>
      </w:tabs>
      <w:spacing w:after="0" w:line="240" w:lineRule="auto"/>
      <w:rPr>
        <w:color w:val="000000"/>
      </w:rPr>
    </w:pPr>
    <w:r>
      <w:rPr>
        <w:color w:val="000000"/>
      </w:rPr>
      <w:tab/>
    </w:r>
  </w:p>
  <w:p w14:paraId="1BA292C3" w14:textId="77777777" w:rsidR="00455C2C" w:rsidRDefault="00455C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83EB1"/>
    <w:multiLevelType w:val="hybridMultilevel"/>
    <w:tmpl w:val="B010F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D6DF3"/>
    <w:multiLevelType w:val="hybridMultilevel"/>
    <w:tmpl w:val="8C5E9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36907"/>
    <w:multiLevelType w:val="multilevel"/>
    <w:tmpl w:val="1A18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55839"/>
    <w:multiLevelType w:val="multilevel"/>
    <w:tmpl w:val="9426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685B75"/>
    <w:multiLevelType w:val="hybridMultilevel"/>
    <w:tmpl w:val="B15CA9C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1544C1C"/>
    <w:multiLevelType w:val="multilevel"/>
    <w:tmpl w:val="12B2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EF6A38"/>
    <w:multiLevelType w:val="hybridMultilevel"/>
    <w:tmpl w:val="BAB09F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7115F"/>
    <w:multiLevelType w:val="multilevel"/>
    <w:tmpl w:val="1DC80A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3B0203E"/>
    <w:multiLevelType w:val="hybridMultilevel"/>
    <w:tmpl w:val="AADC2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0402B"/>
    <w:multiLevelType w:val="hybridMultilevel"/>
    <w:tmpl w:val="FD00B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84DD9"/>
    <w:multiLevelType w:val="hybridMultilevel"/>
    <w:tmpl w:val="64DA8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084989">
    <w:abstractNumId w:val="7"/>
  </w:num>
  <w:num w:numId="2" w16cid:durableId="1382439343">
    <w:abstractNumId w:val="5"/>
  </w:num>
  <w:num w:numId="3" w16cid:durableId="799148249">
    <w:abstractNumId w:val="2"/>
  </w:num>
  <w:num w:numId="4" w16cid:durableId="2067755765">
    <w:abstractNumId w:val="8"/>
  </w:num>
  <w:num w:numId="5" w16cid:durableId="596786911">
    <w:abstractNumId w:val="1"/>
  </w:num>
  <w:num w:numId="6" w16cid:durableId="15558956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688789">
    <w:abstractNumId w:val="10"/>
  </w:num>
  <w:num w:numId="8" w16cid:durableId="1452243793">
    <w:abstractNumId w:val="4"/>
  </w:num>
  <w:num w:numId="9" w16cid:durableId="1748457805">
    <w:abstractNumId w:val="3"/>
  </w:num>
  <w:num w:numId="10" w16cid:durableId="826897583">
    <w:abstractNumId w:val="0"/>
  </w:num>
  <w:num w:numId="11" w16cid:durableId="920601303">
    <w:abstractNumId w:val="9"/>
  </w:num>
  <w:num w:numId="12" w16cid:durableId="6016488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C2C"/>
    <w:rsid w:val="0001733B"/>
    <w:rsid w:val="00025B23"/>
    <w:rsid w:val="00042CC6"/>
    <w:rsid w:val="000442BD"/>
    <w:rsid w:val="00051411"/>
    <w:rsid w:val="000870A0"/>
    <w:rsid w:val="00094FA4"/>
    <w:rsid w:val="000B563B"/>
    <w:rsid w:val="000C4E96"/>
    <w:rsid w:val="000E3D99"/>
    <w:rsid w:val="000F750C"/>
    <w:rsid w:val="001146DC"/>
    <w:rsid w:val="0014590E"/>
    <w:rsid w:val="00147BCD"/>
    <w:rsid w:val="00154CAF"/>
    <w:rsid w:val="00180677"/>
    <w:rsid w:val="00184D58"/>
    <w:rsid w:val="001F78CD"/>
    <w:rsid w:val="00206451"/>
    <w:rsid w:val="00231E46"/>
    <w:rsid w:val="00235318"/>
    <w:rsid w:val="0024135E"/>
    <w:rsid w:val="00256F4A"/>
    <w:rsid w:val="00260948"/>
    <w:rsid w:val="0029083E"/>
    <w:rsid w:val="002919A5"/>
    <w:rsid w:val="002B7011"/>
    <w:rsid w:val="002C0C52"/>
    <w:rsid w:val="002C1CD6"/>
    <w:rsid w:val="002C78B3"/>
    <w:rsid w:val="002F39D7"/>
    <w:rsid w:val="00310064"/>
    <w:rsid w:val="00337352"/>
    <w:rsid w:val="003440F5"/>
    <w:rsid w:val="003650F4"/>
    <w:rsid w:val="0039242A"/>
    <w:rsid w:val="003969DC"/>
    <w:rsid w:val="003B261E"/>
    <w:rsid w:val="003F384E"/>
    <w:rsid w:val="003F4F05"/>
    <w:rsid w:val="0042389B"/>
    <w:rsid w:val="00432BC4"/>
    <w:rsid w:val="00434B6A"/>
    <w:rsid w:val="00436C10"/>
    <w:rsid w:val="00443678"/>
    <w:rsid w:val="00455C2C"/>
    <w:rsid w:val="00460003"/>
    <w:rsid w:val="0047136A"/>
    <w:rsid w:val="004721B4"/>
    <w:rsid w:val="0048428A"/>
    <w:rsid w:val="00491B1B"/>
    <w:rsid w:val="004955E9"/>
    <w:rsid w:val="004C1128"/>
    <w:rsid w:val="004E11FB"/>
    <w:rsid w:val="0054755F"/>
    <w:rsid w:val="00550198"/>
    <w:rsid w:val="00550439"/>
    <w:rsid w:val="005D16C2"/>
    <w:rsid w:val="005D2706"/>
    <w:rsid w:val="00615A70"/>
    <w:rsid w:val="00620CB1"/>
    <w:rsid w:val="006348EB"/>
    <w:rsid w:val="0063561B"/>
    <w:rsid w:val="00637338"/>
    <w:rsid w:val="0064355C"/>
    <w:rsid w:val="00643565"/>
    <w:rsid w:val="00652E5C"/>
    <w:rsid w:val="006628F0"/>
    <w:rsid w:val="00662D3E"/>
    <w:rsid w:val="00674CF4"/>
    <w:rsid w:val="00682B32"/>
    <w:rsid w:val="00691C9F"/>
    <w:rsid w:val="00697B10"/>
    <w:rsid w:val="006B4B72"/>
    <w:rsid w:val="006B67B4"/>
    <w:rsid w:val="006B75B7"/>
    <w:rsid w:val="006C340B"/>
    <w:rsid w:val="006D257C"/>
    <w:rsid w:val="006F52F1"/>
    <w:rsid w:val="007039F6"/>
    <w:rsid w:val="00734603"/>
    <w:rsid w:val="007423F3"/>
    <w:rsid w:val="00756AC0"/>
    <w:rsid w:val="0076231F"/>
    <w:rsid w:val="007723D0"/>
    <w:rsid w:val="00776AC8"/>
    <w:rsid w:val="007873A2"/>
    <w:rsid w:val="007A2EAC"/>
    <w:rsid w:val="007A36EA"/>
    <w:rsid w:val="007A4AE9"/>
    <w:rsid w:val="007B1299"/>
    <w:rsid w:val="007B334E"/>
    <w:rsid w:val="007C1E9F"/>
    <w:rsid w:val="007D18DB"/>
    <w:rsid w:val="007F7ECC"/>
    <w:rsid w:val="00806AE1"/>
    <w:rsid w:val="008449AE"/>
    <w:rsid w:val="00856A05"/>
    <w:rsid w:val="00861AE1"/>
    <w:rsid w:val="0087739C"/>
    <w:rsid w:val="00892C85"/>
    <w:rsid w:val="00897984"/>
    <w:rsid w:val="008A0C17"/>
    <w:rsid w:val="008B169E"/>
    <w:rsid w:val="008B1C7E"/>
    <w:rsid w:val="009172E2"/>
    <w:rsid w:val="0092269A"/>
    <w:rsid w:val="00924726"/>
    <w:rsid w:val="00934EDE"/>
    <w:rsid w:val="00937DF3"/>
    <w:rsid w:val="00953A5A"/>
    <w:rsid w:val="00961B82"/>
    <w:rsid w:val="00970CDE"/>
    <w:rsid w:val="00995E6F"/>
    <w:rsid w:val="009A572F"/>
    <w:rsid w:val="009B3298"/>
    <w:rsid w:val="009B7AA7"/>
    <w:rsid w:val="009E6101"/>
    <w:rsid w:val="009E6CBE"/>
    <w:rsid w:val="009F115D"/>
    <w:rsid w:val="00A122C4"/>
    <w:rsid w:val="00A340E0"/>
    <w:rsid w:val="00A42642"/>
    <w:rsid w:val="00A61EAD"/>
    <w:rsid w:val="00A73203"/>
    <w:rsid w:val="00AC299A"/>
    <w:rsid w:val="00AD3434"/>
    <w:rsid w:val="00AD7930"/>
    <w:rsid w:val="00B00D05"/>
    <w:rsid w:val="00B04524"/>
    <w:rsid w:val="00B069BD"/>
    <w:rsid w:val="00B2656D"/>
    <w:rsid w:val="00B54144"/>
    <w:rsid w:val="00B76089"/>
    <w:rsid w:val="00B764CB"/>
    <w:rsid w:val="00BB1FA6"/>
    <w:rsid w:val="00BF2923"/>
    <w:rsid w:val="00C648AE"/>
    <w:rsid w:val="00C734D8"/>
    <w:rsid w:val="00C901F4"/>
    <w:rsid w:val="00CE16DE"/>
    <w:rsid w:val="00D35BA1"/>
    <w:rsid w:val="00D5298F"/>
    <w:rsid w:val="00D72F70"/>
    <w:rsid w:val="00D877C8"/>
    <w:rsid w:val="00D94496"/>
    <w:rsid w:val="00D96E7C"/>
    <w:rsid w:val="00DB0015"/>
    <w:rsid w:val="00DB6FDC"/>
    <w:rsid w:val="00DD5DB9"/>
    <w:rsid w:val="00DD6A13"/>
    <w:rsid w:val="00DE15E9"/>
    <w:rsid w:val="00DE3331"/>
    <w:rsid w:val="00DF53F1"/>
    <w:rsid w:val="00E25C4C"/>
    <w:rsid w:val="00E30159"/>
    <w:rsid w:val="00E37253"/>
    <w:rsid w:val="00E44965"/>
    <w:rsid w:val="00E54F99"/>
    <w:rsid w:val="00E60051"/>
    <w:rsid w:val="00E720DD"/>
    <w:rsid w:val="00E86309"/>
    <w:rsid w:val="00EC6BB7"/>
    <w:rsid w:val="00EC7614"/>
    <w:rsid w:val="00ED37C1"/>
    <w:rsid w:val="00ED3BF0"/>
    <w:rsid w:val="00EE627B"/>
    <w:rsid w:val="00F07C66"/>
    <w:rsid w:val="00F1186E"/>
    <w:rsid w:val="00F45843"/>
    <w:rsid w:val="00F51970"/>
    <w:rsid w:val="00F87A60"/>
    <w:rsid w:val="00FA34AC"/>
    <w:rsid w:val="00FB06DF"/>
    <w:rsid w:val="00FB1576"/>
    <w:rsid w:val="00FB6470"/>
    <w:rsid w:val="00FD238B"/>
    <w:rsid w:val="00FD723A"/>
    <w:rsid w:val="00F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E5BE"/>
  <w15:docId w15:val="{4A714A42-086D-4C2E-A32D-3F20FB5B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0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78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37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3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349"/>
  </w:style>
  <w:style w:type="paragraph" w:styleId="Stopka">
    <w:name w:val="footer"/>
    <w:basedOn w:val="Normalny"/>
    <w:link w:val="Stopka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349"/>
  </w:style>
  <w:style w:type="paragraph" w:styleId="Tekstdymka">
    <w:name w:val="Balloon Text"/>
    <w:basedOn w:val="Normalny"/>
    <w:link w:val="TekstdymkaZnak"/>
    <w:uiPriority w:val="99"/>
    <w:semiHidden/>
    <w:unhideWhenUsed/>
    <w:rsid w:val="009D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349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68659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686590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659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473C"/>
    <w:pPr>
      <w:spacing w:after="0" w:line="240" w:lineRule="auto"/>
      <w:jc w:val="both"/>
    </w:pPr>
    <w:rPr>
      <w:rFonts w:ascii="Arial" w:hAnsi="Arial" w:cs="Arial"/>
      <w:color w:val="646464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473C"/>
    <w:rPr>
      <w:rFonts w:ascii="Arial" w:hAnsi="Arial" w:cs="Arial"/>
      <w:color w:val="646464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137D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37D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B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B03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8355F9"/>
  </w:style>
  <w:style w:type="paragraph" w:styleId="NormalnyWeb">
    <w:name w:val="Normal (Web)"/>
    <w:basedOn w:val="Normalny"/>
    <w:uiPriority w:val="99"/>
    <w:unhideWhenUsed/>
    <w:rsid w:val="003D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C01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2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2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2F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3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78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re">
    <w:name w:val="Treść"/>
    <w:uiPriority w:val="99"/>
    <w:rsid w:val="00762B80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5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5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51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76AE9"/>
    <w:rPr>
      <w:color w:val="800080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B434EF"/>
    <w:pPr>
      <w:spacing w:after="0" w:line="240" w:lineRule="auto"/>
    </w:pPr>
    <w:rPr>
      <w:color w:val="000000" w:themeColor="text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434EF"/>
    <w:rPr>
      <w:rFonts w:ascii="Calibri" w:hAnsi="Calibri"/>
      <w:color w:val="000000" w:themeColor="text1"/>
      <w:szCs w:val="21"/>
    </w:rPr>
  </w:style>
  <w:style w:type="paragraph" w:customStyle="1" w:styleId="wysijalistitem">
    <w:name w:val="wysija_list_item"/>
    <w:basedOn w:val="Normalny"/>
    <w:rsid w:val="001E0991"/>
    <w:pPr>
      <w:spacing w:after="0" w:line="264" w:lineRule="auto"/>
    </w:pPr>
    <w:rPr>
      <w:rFonts w:ascii="Arial" w:hAnsi="Arial" w:cs="Arial"/>
      <w:sz w:val="20"/>
      <w:szCs w:val="20"/>
    </w:rPr>
  </w:style>
  <w:style w:type="paragraph" w:customStyle="1" w:styleId="lead">
    <w:name w:val="lead"/>
    <w:basedOn w:val="Normalny"/>
    <w:uiPriority w:val="99"/>
    <w:semiHidden/>
    <w:rsid w:val="00EE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-text">
    <w:name w:val="card-text"/>
    <w:basedOn w:val="Normalny"/>
    <w:rsid w:val="008C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3943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38D"/>
  </w:style>
  <w:style w:type="character" w:customStyle="1" w:styleId="6qdm">
    <w:name w:val="_6qdm"/>
    <w:basedOn w:val="Domylnaczcionkaakapitu"/>
    <w:rsid w:val="000D78E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079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C0565"/>
    <w:rPr>
      <w:i/>
      <w:iCs/>
    </w:rPr>
  </w:style>
  <w:style w:type="character" w:customStyle="1" w:styleId="apple-converted-space">
    <w:name w:val="apple-converted-space"/>
    <w:basedOn w:val="Domylnaczcionkaakapitu"/>
    <w:rsid w:val="000C0565"/>
  </w:style>
  <w:style w:type="paragraph" w:customStyle="1" w:styleId="grve-leader-text">
    <w:name w:val="grve-leader-text"/>
    <w:basedOn w:val="Normalny"/>
    <w:rsid w:val="003D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604F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body-paragraph-default">
    <w:name w:val="body-paragraph-default"/>
    <w:basedOn w:val="Normalny"/>
    <w:rsid w:val="009F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443678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B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86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4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93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57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34">
                  <w:marLeft w:val="0"/>
                  <w:marRight w:val="225"/>
                  <w:marTop w:val="6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3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7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7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78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2434430">
              <w:marLeft w:val="0"/>
              <w:marRight w:val="0"/>
              <w:marTop w:val="0"/>
              <w:marBottom w:val="7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6261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20641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67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4317719">
              <w:marLeft w:val="0"/>
              <w:marRight w:val="0"/>
              <w:marTop w:val="0"/>
              <w:marBottom w:val="7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26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101903">
              <w:marLeft w:val="0"/>
              <w:marRight w:val="0"/>
              <w:marTop w:val="0"/>
              <w:marBottom w:val="7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827910">
              <w:marLeft w:val="0"/>
              <w:marRight w:val="0"/>
              <w:marTop w:val="0"/>
              <w:marBottom w:val="7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43625">
              <w:marLeft w:val="0"/>
              <w:marRight w:val="0"/>
              <w:marTop w:val="0"/>
              <w:marBottom w:val="7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639762">
              <w:marLeft w:val="0"/>
              <w:marRight w:val="0"/>
              <w:marTop w:val="0"/>
              <w:marBottom w:val="7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4910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2624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2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30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88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45268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24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31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459613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7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90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23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53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006589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22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23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9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83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483315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6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565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43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9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51876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8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8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ca.plgbc.org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gbc.org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lgbc.org.pl/o-nas/worldgbc-i-er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gbc.org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AS4OcfeBIAm5SbvO+b7m0aXAOA==">CgMxLjA4AHIhMVJ1alBXcU9sSkVQa19ZTFF2TDNnMGNqdUFGaXVnMUhk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821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PLGBC</dc:creator>
  <cp:lastModifiedBy>Maria Jasiewicz</cp:lastModifiedBy>
  <cp:revision>32</cp:revision>
  <dcterms:created xsi:type="dcterms:W3CDTF">2024-09-30T13:06:00Z</dcterms:created>
  <dcterms:modified xsi:type="dcterms:W3CDTF">2024-12-13T10:27:00Z</dcterms:modified>
</cp:coreProperties>
</file>