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67" w:rsidRDefault="009E09D3" w:rsidP="00120087">
      <w:pPr>
        <w:ind w:left="4248"/>
        <w:jc w:val="right"/>
        <w:rPr>
          <w:rFonts w:ascii="Tahoma" w:hAnsi="Tahoma" w:cs="Tahoma"/>
        </w:rPr>
      </w:pPr>
      <w:r>
        <w:rPr>
          <w:rFonts w:ascii="Tahoma" w:hAnsi="Tahoma" w:cs="Tahoma"/>
        </w:rPr>
        <w:t xml:space="preserve">Warszawa, dnia 1 marca 2017 r. </w:t>
      </w:r>
    </w:p>
    <w:p w:rsidR="00EA1967" w:rsidRDefault="00EA1967">
      <w:pPr>
        <w:ind w:left="4248"/>
        <w:rPr>
          <w:rFonts w:ascii="Tahoma" w:hAnsi="Tahoma" w:cs="Tahoma"/>
        </w:rPr>
      </w:pPr>
    </w:p>
    <w:p w:rsidR="00EA1967" w:rsidRDefault="00EA1967">
      <w:pPr>
        <w:ind w:left="4248"/>
        <w:rPr>
          <w:rFonts w:ascii="Tahoma" w:hAnsi="Tahoma" w:cs="Tahoma"/>
        </w:rPr>
      </w:pPr>
    </w:p>
    <w:p w:rsidR="00EA1967" w:rsidRDefault="00EA1967">
      <w:pPr>
        <w:ind w:left="4248"/>
        <w:rPr>
          <w:rFonts w:ascii="Tahoma" w:hAnsi="Tahoma" w:cs="Tahoma"/>
        </w:rPr>
      </w:pPr>
    </w:p>
    <w:p w:rsidR="00EA1967" w:rsidRDefault="00EA1967">
      <w:pPr>
        <w:ind w:left="4248"/>
        <w:rPr>
          <w:rFonts w:ascii="Tahoma" w:hAnsi="Tahoma" w:cs="Tahoma"/>
        </w:rPr>
      </w:pPr>
    </w:p>
    <w:p w:rsidR="00EA1967" w:rsidRDefault="009E09D3">
      <w:pPr>
        <w:jc w:val="center"/>
        <w:rPr>
          <w:rFonts w:ascii="Tahoma" w:hAnsi="Tahoma" w:cs="Tahoma"/>
          <w:b/>
        </w:rPr>
      </w:pPr>
      <w:r>
        <w:rPr>
          <w:rFonts w:ascii="Tahoma" w:hAnsi="Tahoma" w:cs="Tahoma"/>
          <w:b/>
        </w:rPr>
        <w:t xml:space="preserve">Stanowisko </w:t>
      </w:r>
    </w:p>
    <w:p w:rsidR="00EA1967" w:rsidRDefault="00EA1967">
      <w:pPr>
        <w:jc w:val="center"/>
        <w:rPr>
          <w:rFonts w:ascii="Tahoma" w:hAnsi="Tahoma" w:cs="Tahoma"/>
          <w:b/>
        </w:rPr>
      </w:pPr>
    </w:p>
    <w:p w:rsidR="00EA1967" w:rsidRDefault="009E09D3">
      <w:pPr>
        <w:jc w:val="center"/>
        <w:rPr>
          <w:rFonts w:ascii="Tahoma" w:hAnsi="Tahoma" w:cs="Tahoma"/>
          <w:b/>
        </w:rPr>
      </w:pPr>
      <w:r>
        <w:rPr>
          <w:rFonts w:ascii="Tahoma" w:hAnsi="Tahoma" w:cs="Tahoma"/>
          <w:b/>
        </w:rPr>
        <w:t>przedstawicieli organizacji społecznych, członków Rady Nieodpłatnej Pomocy Prawnej i Edukacji Prawnej przy Ministrze Sprawiedliwości</w:t>
      </w:r>
    </w:p>
    <w:p w:rsidR="00EA1967" w:rsidRDefault="00EA1967">
      <w:pPr>
        <w:jc w:val="center"/>
        <w:rPr>
          <w:rFonts w:ascii="Tahoma" w:hAnsi="Tahoma" w:cs="Tahoma"/>
          <w:b/>
        </w:rPr>
      </w:pPr>
    </w:p>
    <w:p w:rsidR="00EA1967" w:rsidRDefault="009E09D3">
      <w:pPr>
        <w:jc w:val="center"/>
        <w:rPr>
          <w:rFonts w:ascii="Tahoma" w:hAnsi="Tahoma" w:cs="Tahoma"/>
          <w:b/>
        </w:rPr>
      </w:pPr>
      <w:r>
        <w:rPr>
          <w:rFonts w:ascii="Tahoma" w:hAnsi="Tahoma" w:cs="Tahoma"/>
          <w:b/>
        </w:rPr>
        <w:t xml:space="preserve">w sprawie podsumowania roku funkcjonowania i koniecznych zmian w ustawie o nieodpłatnej pomocy prawnej i edukacji prawnej </w:t>
      </w:r>
    </w:p>
    <w:p w:rsidR="00EA1967" w:rsidRDefault="00EA1967">
      <w:pPr>
        <w:rPr>
          <w:rFonts w:ascii="Tahoma" w:hAnsi="Tahoma" w:cs="Tahoma"/>
        </w:rPr>
      </w:pPr>
    </w:p>
    <w:p w:rsidR="00EA1967" w:rsidRDefault="00EA1967">
      <w:pPr>
        <w:rPr>
          <w:rFonts w:ascii="Tahoma" w:hAnsi="Tahoma" w:cs="Tahoma"/>
        </w:rPr>
      </w:pPr>
    </w:p>
    <w:p w:rsidR="00EA1967" w:rsidRDefault="00EA1967">
      <w:pPr>
        <w:ind w:left="426" w:right="632"/>
        <w:jc w:val="both"/>
        <w:rPr>
          <w:rFonts w:ascii="Tahoma" w:hAnsi="Tahoma" w:cs="Tahoma"/>
        </w:rPr>
      </w:pPr>
    </w:p>
    <w:p w:rsidR="00EA1967" w:rsidRDefault="00EA1967">
      <w:pPr>
        <w:ind w:left="426" w:right="632"/>
        <w:jc w:val="both"/>
        <w:rPr>
          <w:rFonts w:ascii="Tahoma" w:hAnsi="Tahoma" w:cs="Tahoma"/>
        </w:rPr>
      </w:pPr>
    </w:p>
    <w:p w:rsidR="00EA1967" w:rsidRDefault="009E09D3">
      <w:pPr>
        <w:jc w:val="both"/>
        <w:rPr>
          <w:rFonts w:ascii="Tahoma" w:hAnsi="Tahoma" w:cs="Tahoma"/>
        </w:rPr>
      </w:pPr>
      <w:r>
        <w:rPr>
          <w:rFonts w:ascii="Tahoma" w:hAnsi="Tahoma" w:cs="Tahoma"/>
        </w:rPr>
        <w:t>Minął rok funkcjonowania ustawy o nieodpłatnej pomocy prawnej i edukacji prawnej. Przedstawione przez Ministerstwo Sprawiedliwości dane statystyczne dobitnie wskazują, że  zapotrzebowanie na nieodpłatną pomoc prawną jest w Polsce znaczne. Jednocześnie jednak dowodzą one, że sposób organizacji systemu jest zły. W 2016 roku udzielono 377 tysięcy porad, co oznacza, że  na jeden punkt pomocy prawnej przypada w ciągu dnia tylko około jedna porada. Tym samym, średni koszt jednej porady został wyliczony na 250 zł.</w:t>
      </w:r>
    </w:p>
    <w:p w:rsidR="00EA1967" w:rsidRDefault="00EA1967">
      <w:pPr>
        <w:jc w:val="both"/>
        <w:rPr>
          <w:rFonts w:ascii="Tahoma" w:hAnsi="Tahoma" w:cs="Tahoma"/>
        </w:rPr>
      </w:pPr>
    </w:p>
    <w:p w:rsidR="00EA1967" w:rsidRDefault="009E09D3">
      <w:pPr>
        <w:jc w:val="both"/>
        <w:rPr>
          <w:rFonts w:ascii="Tahoma" w:hAnsi="Tahoma" w:cs="Tahoma"/>
        </w:rPr>
      </w:pPr>
      <w:r>
        <w:rPr>
          <w:rFonts w:ascii="Tahoma" w:hAnsi="Tahoma" w:cs="Tahoma"/>
        </w:rPr>
        <w:t>Dane Ministerstwa świadczą więc zarazem  o wielkim potencjale utworzonego systemu i o zaangażowaniu środowisk adwokackich, radcowskich i organizacji pozarządowych w jego budowę (1524 pu</w:t>
      </w:r>
      <w:r w:rsidR="00A006E2">
        <w:rPr>
          <w:rFonts w:ascii="Tahoma" w:hAnsi="Tahoma" w:cs="Tahoma"/>
        </w:rPr>
        <w:t>nkty porad w cały Kraju) oraz o </w:t>
      </w:r>
      <w:r>
        <w:rPr>
          <w:rFonts w:ascii="Tahoma" w:hAnsi="Tahoma" w:cs="Tahoma"/>
        </w:rPr>
        <w:t>dramatycznie niskim wykorzystywaniu tego potencjału poprzez ograniczenie zarówno kręgu osób uprawnionych jak też dzięki słabej promocji faktu istnienia nowej sieci punktów dostępu do pomocy prawnej.</w:t>
      </w:r>
    </w:p>
    <w:p w:rsidR="00EA1967" w:rsidRDefault="00EA1967">
      <w:pPr>
        <w:jc w:val="both"/>
        <w:rPr>
          <w:rFonts w:ascii="Tahoma" w:hAnsi="Tahoma" w:cs="Tahoma"/>
        </w:rPr>
      </w:pPr>
    </w:p>
    <w:p w:rsidR="00EA1967" w:rsidRDefault="009E09D3">
      <w:pPr>
        <w:jc w:val="both"/>
        <w:rPr>
          <w:rFonts w:ascii="Tahoma" w:hAnsi="Tahoma" w:cs="Tahoma"/>
        </w:rPr>
      </w:pPr>
      <w:r>
        <w:rPr>
          <w:rFonts w:ascii="Tahoma" w:hAnsi="Tahoma" w:cs="Tahoma"/>
        </w:rPr>
        <w:t>Te dane oraz wiedza na temat praktyki stosowania</w:t>
      </w:r>
      <w:r w:rsidR="00A006E2">
        <w:rPr>
          <w:rFonts w:ascii="Tahoma" w:hAnsi="Tahoma" w:cs="Tahoma"/>
        </w:rPr>
        <w:t xml:space="preserve"> ustawy zmuszają do refleksji i </w:t>
      </w:r>
      <w:r>
        <w:rPr>
          <w:rFonts w:ascii="Tahoma" w:hAnsi="Tahoma" w:cs="Tahoma"/>
        </w:rPr>
        <w:t>wyciągnięcia wniosków. Postulujemy aby:</w:t>
      </w:r>
    </w:p>
    <w:p w:rsidR="00EA1967" w:rsidRDefault="00EA1967">
      <w:pPr>
        <w:jc w:val="both"/>
        <w:rPr>
          <w:rFonts w:ascii="Tahoma" w:hAnsi="Tahoma" w:cs="Tahoma"/>
        </w:rPr>
      </w:pPr>
    </w:p>
    <w:p w:rsidR="00EA1967" w:rsidRDefault="009E09D3">
      <w:pPr>
        <w:pStyle w:val="Akapitzlist"/>
        <w:numPr>
          <w:ilvl w:val="0"/>
          <w:numId w:val="1"/>
        </w:numPr>
        <w:jc w:val="both"/>
        <w:rPr>
          <w:rFonts w:ascii="Tahoma" w:hAnsi="Tahoma" w:cs="Tahoma"/>
        </w:rPr>
      </w:pPr>
      <w:r>
        <w:rPr>
          <w:rFonts w:ascii="Tahoma" w:hAnsi="Tahoma" w:cs="Tahoma"/>
          <w:b/>
        </w:rPr>
        <w:t>Rozszerzyć zakres podmiotowy</w:t>
      </w:r>
      <w:r>
        <w:rPr>
          <w:rFonts w:ascii="Tahoma" w:hAnsi="Tahoma" w:cs="Tahoma"/>
        </w:rPr>
        <w:t xml:space="preserve"> – czyli katalog osób uprawnionych do otrzymania nieodpłatnej pomocy prawnej.</w:t>
      </w:r>
    </w:p>
    <w:p w:rsidR="00EA1967" w:rsidRDefault="00EA1967">
      <w:pPr>
        <w:pStyle w:val="Akapitzlist"/>
        <w:jc w:val="both"/>
        <w:rPr>
          <w:rFonts w:ascii="Tahoma" w:hAnsi="Tahoma" w:cs="Tahoma"/>
        </w:rPr>
      </w:pPr>
    </w:p>
    <w:p w:rsidR="00EA1967" w:rsidRDefault="009E09D3">
      <w:pPr>
        <w:pStyle w:val="Akapitzlist"/>
        <w:jc w:val="both"/>
        <w:rPr>
          <w:rFonts w:ascii="Tahoma" w:hAnsi="Tahoma" w:cs="Tahoma"/>
        </w:rPr>
      </w:pPr>
      <w:r>
        <w:rPr>
          <w:rFonts w:ascii="Tahoma" w:hAnsi="Tahoma" w:cs="Tahoma"/>
        </w:rPr>
        <w:t xml:space="preserve">W gronie uprawnionych nie znalazły się bowiem liczne grupy osób potrzebujących pomocy prawnej. Są to na przykład: samotne matki; niepełnosprawni; bezrobotni; osoby znajdujące się w trudnej sytuacji życiowej; osoby pracujące, ale mające kłopoty z egzekucją alimentów; pracujący, ale pozbawieni wynagrodzenia za pracę przez nieuczciwego pracodawcę; kobiety, które są ofiarami przemocy w rodzinie i jednocześnie nie mają dostępu do dochodów męża; osoby bezdomne, bez dowodu osobistego, które nie potrafią pozyskać świadczeń z pomocy społecznej; osoby niezaradne życiowo; rodziny osób niepełnosprawnych, czy osób obłożnie chorych; cudzoziemcy ubiegający się o nadanie statusu uchodźcy, udzielenie azylu lub </w:t>
      </w:r>
      <w:r>
        <w:rPr>
          <w:rFonts w:ascii="Tahoma" w:hAnsi="Tahoma" w:cs="Tahoma"/>
        </w:rPr>
        <w:lastRenderedPageBreak/>
        <w:t>zgody na pobyt tolerowany</w:t>
      </w:r>
      <w:r>
        <w:rPr>
          <w:rStyle w:val="Zakotwiczenieprzypisudolnego"/>
          <w:rFonts w:ascii="Tahoma" w:hAnsi="Tahoma" w:cs="Tahoma"/>
        </w:rPr>
        <w:footnoteReference w:id="1"/>
      </w:r>
      <w:r>
        <w:rPr>
          <w:rFonts w:ascii="Tahoma" w:hAnsi="Tahoma" w:cs="Tahoma"/>
        </w:rPr>
        <w:t xml:space="preserve"> oraz cudzoziemcy, którzy uzyskali taki status; cudzoziemcy, którzy uzyskali zezwolenie na pobyt rezydenta długoterminowego Wspólnot Europejskich lub zezwolenie na osiedlenie się</w:t>
      </w:r>
      <w:r>
        <w:rPr>
          <w:rStyle w:val="Zakotwiczenieprzypisudolnego"/>
          <w:rFonts w:ascii="Tahoma" w:hAnsi="Tahoma" w:cs="Tahoma"/>
        </w:rPr>
        <w:footnoteReference w:id="2"/>
      </w:r>
      <w:r>
        <w:rPr>
          <w:rFonts w:ascii="Tahoma" w:hAnsi="Tahoma" w:cs="Tahoma"/>
        </w:rPr>
        <w:t xml:space="preserve">. Wykluczenie tych osób z systemu dostępu do nieodpłatnej pomocy prawnej budzi olbrzymie rozżalenie, niezadowolenie i niezrozumienie przesłanek jakimi kierował się ustawodawca konstruując katalog uprawnionych. </w:t>
      </w:r>
    </w:p>
    <w:p w:rsidR="00EA1967" w:rsidRDefault="00EA1967">
      <w:pPr>
        <w:pStyle w:val="Akapitzlist"/>
        <w:jc w:val="both"/>
        <w:rPr>
          <w:rFonts w:ascii="Tahoma" w:hAnsi="Tahoma" w:cs="Tahoma"/>
        </w:rPr>
      </w:pPr>
    </w:p>
    <w:p w:rsidR="00FA7705" w:rsidRDefault="009E09D3">
      <w:pPr>
        <w:pStyle w:val="Akapitzlist"/>
        <w:jc w:val="both"/>
        <w:rPr>
          <w:rFonts w:ascii="Tahoma" w:hAnsi="Tahoma" w:cs="Tahoma"/>
        </w:rPr>
      </w:pPr>
      <w:r>
        <w:rPr>
          <w:rFonts w:ascii="Tahoma" w:hAnsi="Tahoma" w:cs="Tahoma"/>
        </w:rPr>
        <w:t xml:space="preserve">Wnosimy aby </w:t>
      </w:r>
      <w:r w:rsidR="00FA7705">
        <w:rPr>
          <w:rFonts w:ascii="Tahoma" w:hAnsi="Tahoma" w:cs="Tahoma"/>
        </w:rPr>
        <w:t xml:space="preserve">zmienić podstawę i kryteria </w:t>
      </w:r>
      <w:r>
        <w:rPr>
          <w:rFonts w:ascii="Tahoma" w:hAnsi="Tahoma" w:cs="Tahoma"/>
        </w:rPr>
        <w:t>dostępu do bezpłatnej pomocy prawnej</w:t>
      </w:r>
      <w:r w:rsidR="00FA7705">
        <w:rPr>
          <w:rFonts w:ascii="Tahoma" w:hAnsi="Tahoma" w:cs="Tahoma"/>
        </w:rPr>
        <w:t xml:space="preserve">, a pomoc była przyznawana na podstawie składanego przez osobę potrzebującą oświadczenia, w którym potwierdzi, że z przyczyn ekonomicznych lub innych ważnych przyczyn życiowych nie jest w stanie uzyskać odpłatnej pomocy prawnej w inny sposób. </w:t>
      </w:r>
    </w:p>
    <w:p w:rsidR="00FA7705" w:rsidRDefault="00FA7705">
      <w:pPr>
        <w:pStyle w:val="Akapitzlist"/>
        <w:jc w:val="both"/>
        <w:rPr>
          <w:rFonts w:ascii="Tahoma" w:hAnsi="Tahoma" w:cs="Tahoma"/>
        </w:rPr>
      </w:pPr>
    </w:p>
    <w:p w:rsidR="00FA7705" w:rsidRDefault="00FA7705" w:rsidP="00120087">
      <w:pPr>
        <w:pStyle w:val="Akapitzlist"/>
        <w:jc w:val="both"/>
        <w:rPr>
          <w:rFonts w:ascii="Tahoma" w:hAnsi="Tahoma" w:cs="Tahoma"/>
        </w:rPr>
      </w:pPr>
      <w:r w:rsidRPr="00FA7705">
        <w:rPr>
          <w:rFonts w:ascii="Tahoma" w:hAnsi="Tahoma" w:cs="Tahoma"/>
        </w:rPr>
        <w:t xml:space="preserve">Tym samym podstawowym kryterium dostępu do nieodpłatnej pomocy prawnej stanie się </w:t>
      </w:r>
      <w:r w:rsidR="009E09D3" w:rsidRPr="00FA7705">
        <w:rPr>
          <w:rFonts w:ascii="Tahoma" w:hAnsi="Tahoma" w:cs="Tahoma"/>
        </w:rPr>
        <w:t xml:space="preserve">kryterium </w:t>
      </w:r>
      <w:r w:rsidRPr="00FA7705">
        <w:rPr>
          <w:rFonts w:ascii="Tahoma" w:hAnsi="Tahoma" w:cs="Tahoma"/>
        </w:rPr>
        <w:t>majątkowe</w:t>
      </w:r>
      <w:r>
        <w:rPr>
          <w:rFonts w:ascii="Tahoma" w:hAnsi="Tahoma" w:cs="Tahoma"/>
        </w:rPr>
        <w:t>, zaś o</w:t>
      </w:r>
      <w:r w:rsidR="009E09D3">
        <w:rPr>
          <w:rFonts w:ascii="Tahoma" w:hAnsi="Tahoma" w:cs="Tahoma"/>
        </w:rPr>
        <w:t>bok kryteri</w:t>
      </w:r>
      <w:r>
        <w:rPr>
          <w:rFonts w:ascii="Tahoma" w:hAnsi="Tahoma" w:cs="Tahoma"/>
        </w:rPr>
        <w:t>um</w:t>
      </w:r>
      <w:r w:rsidR="009E09D3">
        <w:rPr>
          <w:rFonts w:ascii="Tahoma" w:hAnsi="Tahoma" w:cs="Tahoma"/>
        </w:rPr>
        <w:t xml:space="preserve"> majątkow</w:t>
      </w:r>
      <w:r>
        <w:rPr>
          <w:rFonts w:ascii="Tahoma" w:hAnsi="Tahoma" w:cs="Tahoma"/>
        </w:rPr>
        <w:t>ego</w:t>
      </w:r>
      <w:r w:rsidR="009E09D3">
        <w:rPr>
          <w:rFonts w:ascii="Tahoma" w:hAnsi="Tahoma" w:cs="Tahoma"/>
        </w:rPr>
        <w:t xml:space="preserve"> wprowadz</w:t>
      </w:r>
      <w:r>
        <w:rPr>
          <w:rFonts w:ascii="Tahoma" w:hAnsi="Tahoma" w:cs="Tahoma"/>
        </w:rPr>
        <w:t>ona zostanie</w:t>
      </w:r>
      <w:r w:rsidR="009E09D3">
        <w:rPr>
          <w:rFonts w:ascii="Tahoma" w:hAnsi="Tahoma" w:cs="Tahoma"/>
        </w:rPr>
        <w:t xml:space="preserve"> także ocen</w:t>
      </w:r>
      <w:r>
        <w:rPr>
          <w:rFonts w:ascii="Tahoma" w:hAnsi="Tahoma" w:cs="Tahoma"/>
        </w:rPr>
        <w:t>a</w:t>
      </w:r>
      <w:r w:rsidR="009E09D3">
        <w:rPr>
          <w:rFonts w:ascii="Tahoma" w:hAnsi="Tahoma" w:cs="Tahoma"/>
        </w:rPr>
        <w:t xml:space="preserve"> uwarunkowań niemajątkowych wnioskodawcy. Do takich sytuacji szczególnych zaliczyć można sytuację czasowej niemożności udokumentowania spełnienia kryterium majątkowego lub przypadki niecierpiące zwłoki (np. pomoc osobie zatrzymanej), czy choćby ze względu na szczególną sytuację osobis</w:t>
      </w:r>
      <w:r w:rsidR="00A006E2">
        <w:rPr>
          <w:rFonts w:ascii="Tahoma" w:hAnsi="Tahoma" w:cs="Tahoma"/>
        </w:rPr>
        <w:t>tą (powstałą na tle konfliktu w </w:t>
      </w:r>
      <w:r w:rsidR="009E09D3">
        <w:rPr>
          <w:rFonts w:ascii="Tahoma" w:hAnsi="Tahoma" w:cs="Tahoma"/>
        </w:rPr>
        <w:t>rodzinie, która teoretycznie majątek posiada, ale w danej chwili nim nie dysponuje). Warto także rozważyć wykorzystanie kryterium dobra wymiaru sprawiedliwości, które w szczególnych sytuacjach mogłoby się okazać niezbędnym dla uwzględnienia wniosku osoby, której to ustawodawca nie mógł przewidzieć.</w:t>
      </w:r>
    </w:p>
    <w:p w:rsidR="00FA7705" w:rsidRPr="00FA7705" w:rsidRDefault="00FA7705" w:rsidP="00120087">
      <w:pPr>
        <w:pStyle w:val="Akapitzlist"/>
        <w:jc w:val="both"/>
        <w:rPr>
          <w:rFonts w:ascii="Tahoma" w:hAnsi="Tahoma" w:cs="Tahoma"/>
        </w:rPr>
      </w:pPr>
    </w:p>
    <w:p w:rsidR="00EA1967" w:rsidRPr="00FA7705" w:rsidRDefault="009E09D3" w:rsidP="00120087">
      <w:pPr>
        <w:pStyle w:val="Akapitzlist"/>
        <w:jc w:val="both"/>
        <w:rPr>
          <w:rFonts w:ascii="Tahoma" w:hAnsi="Tahoma" w:cs="Tahoma"/>
        </w:rPr>
      </w:pPr>
      <w:r w:rsidRPr="00120087">
        <w:rPr>
          <w:rFonts w:ascii="Tahoma" w:hAnsi="Tahoma" w:cs="Tahoma"/>
        </w:rPr>
        <w:t>Istniejące kodeksowe kryteria uzyskania pełnomocnika z urzędu zawierają już takie właśnie kryteria miękkie. W procedurze cywilnej konieczne jest wykazanie, że „strona nie może bez uszczerbku utrzymania swojego i rodziny ponieść kosztów wynagrodzenia adwokata lub radcy prawnego” (art. 117 KPC), zaś w procedurze administracyjnej należy wykazać, ż</w:t>
      </w:r>
      <w:r w:rsidR="00A006E2">
        <w:rPr>
          <w:rFonts w:ascii="Tahoma" w:hAnsi="Tahoma" w:cs="Tahoma"/>
        </w:rPr>
        <w:t>e „strona nie jest w </w:t>
      </w:r>
      <w:r w:rsidRPr="00120087">
        <w:rPr>
          <w:rFonts w:ascii="Tahoma" w:hAnsi="Tahoma" w:cs="Tahoma"/>
        </w:rPr>
        <w:t>stanie ponieść jakichkolwiek kosztów postępowania,</w:t>
      </w:r>
      <w:r w:rsidRPr="00FA7705">
        <w:rPr>
          <w:rFonts w:ascii="Tahoma" w:hAnsi="Tahoma" w:cs="Tahoma"/>
        </w:rPr>
        <w:t xml:space="preserve"> lub że nie jest w stanie ponieść pełnych kosztów postępowania bez uszczerbku utrzymania koniecznego dla siebie i rodziny” (art. 246 KPA). Są to więc kryteria znacznie szersze od samych tylko przesłanek majątkowych i uwzględniają także osobistą sytuację życiową i rodzinną osoby potrzebującej pomocy prawnej. Takie ujęcie kryteriów dodatkowo umożliwia zróżnicowanie potrzeb wedle lokalnych kosztów utrzymania wnioskodawcy</w:t>
      </w:r>
      <w:r w:rsidRPr="00FA7705">
        <w:rPr>
          <w:rStyle w:val="Zakotwiczenieprzypisudolnego"/>
          <w:rFonts w:ascii="Tahoma" w:hAnsi="Tahoma" w:cs="Tahoma"/>
        </w:rPr>
        <w:footnoteReference w:id="3"/>
      </w:r>
      <w:r w:rsidRPr="00FA7705">
        <w:rPr>
          <w:rFonts w:ascii="Tahoma" w:hAnsi="Tahoma" w:cs="Tahoma"/>
        </w:rPr>
        <w:t xml:space="preserve">. </w:t>
      </w:r>
    </w:p>
    <w:p w:rsidR="00FA7705" w:rsidRDefault="00FA7705" w:rsidP="00FA7705">
      <w:pPr>
        <w:pStyle w:val="Akapitzlist"/>
        <w:jc w:val="both"/>
      </w:pPr>
      <w:r w:rsidRPr="00FA7705">
        <w:rPr>
          <w:rFonts w:ascii="Tahoma" w:hAnsi="Tahoma" w:cs="Tahoma"/>
        </w:rPr>
        <w:lastRenderedPageBreak/>
        <w:t>Oświadczenie składane byłoby pod rygorem odpowiedzialności za składania fałszywych oświadczeń</w:t>
      </w:r>
      <w:r w:rsidRPr="00FA7705">
        <w:rPr>
          <w:rStyle w:val="Zakotwiczenieprzypisudolnego"/>
          <w:rFonts w:ascii="Tahoma" w:hAnsi="Tahoma" w:cs="Tahoma"/>
        </w:rPr>
        <w:footnoteReference w:id="4"/>
      </w:r>
      <w:r w:rsidRPr="00FA7705">
        <w:rPr>
          <w:rFonts w:ascii="Tahoma" w:hAnsi="Tahoma" w:cs="Tahoma"/>
        </w:rPr>
        <w:t>, zaś z tytułu nienależnie otrzymanego świadczenia osoba ta zobowiązana byłaby do zwrotu wartości wyłudzonego świadczenia</w:t>
      </w:r>
      <w:r w:rsidRPr="00FA7705">
        <w:rPr>
          <w:rStyle w:val="Zakotwiczenieprzypisudolnego"/>
          <w:rFonts w:ascii="Tahoma" w:hAnsi="Tahoma" w:cs="Tahoma"/>
        </w:rPr>
        <w:footnoteReference w:id="5"/>
      </w:r>
      <w:r w:rsidRPr="00FA7705">
        <w:rPr>
          <w:rFonts w:ascii="Tahoma" w:hAnsi="Tahoma" w:cs="Tahoma"/>
        </w:rPr>
        <w:t>.</w:t>
      </w:r>
    </w:p>
    <w:p w:rsidR="00EA1967" w:rsidRDefault="00EA1967">
      <w:pPr>
        <w:pStyle w:val="Akapitzlist"/>
        <w:ind w:left="1080"/>
        <w:jc w:val="both"/>
        <w:rPr>
          <w:rFonts w:ascii="Tahoma" w:hAnsi="Tahoma" w:cs="Tahoma"/>
        </w:rPr>
      </w:pPr>
    </w:p>
    <w:p w:rsidR="00EA1967" w:rsidRDefault="009E09D3">
      <w:pPr>
        <w:pStyle w:val="Akapitzlist"/>
        <w:numPr>
          <w:ilvl w:val="0"/>
          <w:numId w:val="1"/>
        </w:numPr>
        <w:jc w:val="both"/>
        <w:rPr>
          <w:rFonts w:ascii="Tahoma" w:hAnsi="Tahoma" w:cs="Tahoma"/>
          <w:bCs/>
          <w:iCs/>
          <w:lang w:eastAsia="ar-SA"/>
        </w:rPr>
      </w:pPr>
      <w:r>
        <w:rPr>
          <w:rFonts w:ascii="Tahoma" w:hAnsi="Tahoma" w:cs="Tahoma"/>
          <w:b/>
        </w:rPr>
        <w:t>Rozszerzyć zakres przedmiotowy</w:t>
      </w:r>
      <w:r>
        <w:rPr>
          <w:rFonts w:ascii="Tahoma" w:hAnsi="Tahoma" w:cs="Tahoma"/>
        </w:rPr>
        <w:t xml:space="preserve"> – czyli </w:t>
      </w:r>
      <w:r>
        <w:rPr>
          <w:rFonts w:ascii="Tahoma" w:hAnsi="Tahoma" w:cs="Tahoma"/>
          <w:bCs/>
          <w:iCs/>
          <w:lang w:eastAsia="ar-SA"/>
        </w:rPr>
        <w:t xml:space="preserve">zakres spraw objętych nieodpłatną pomocą prawną. </w:t>
      </w:r>
    </w:p>
    <w:p w:rsidR="00EA1967" w:rsidRDefault="00EA1967">
      <w:pPr>
        <w:pStyle w:val="Akapitzlist"/>
        <w:jc w:val="both"/>
        <w:rPr>
          <w:rFonts w:ascii="Tahoma" w:hAnsi="Tahoma" w:cs="Tahoma"/>
        </w:rPr>
      </w:pPr>
    </w:p>
    <w:p w:rsidR="00EA1967" w:rsidRDefault="009E09D3">
      <w:pPr>
        <w:pStyle w:val="Akapitzlist"/>
        <w:jc w:val="both"/>
        <w:rPr>
          <w:rFonts w:ascii="Tahoma" w:hAnsi="Tahoma" w:cs="Tahoma"/>
        </w:rPr>
      </w:pPr>
      <w:r>
        <w:rPr>
          <w:rFonts w:ascii="Tahoma" w:hAnsi="Tahoma" w:cs="Tahoma"/>
        </w:rPr>
        <w:t>Przyjęta ustawa wymienia kategorie spraw, w których pomoc prawna nie przysługuje, zaliczając do nich sprawy podatkowe związane z prowadzeniem działalności gospodarczej, sprawy z zakresu prawa celnego, dewi</w:t>
      </w:r>
      <w:r w:rsidR="00A006E2">
        <w:rPr>
          <w:rFonts w:ascii="Tahoma" w:hAnsi="Tahoma" w:cs="Tahoma"/>
        </w:rPr>
        <w:t>zowego i </w:t>
      </w:r>
      <w:r>
        <w:rPr>
          <w:rFonts w:ascii="Tahoma" w:hAnsi="Tahoma" w:cs="Tahoma"/>
        </w:rPr>
        <w:t>handlowego oraz sprawy związane z prowadzeniem działalności gospodarczej, z wyjątkiem przygotowania do rozpoczęcia tej działalności</w:t>
      </w:r>
      <w:r>
        <w:rPr>
          <w:rStyle w:val="Zakotwiczenieprzypisudolnego"/>
          <w:rFonts w:ascii="Tahoma" w:hAnsi="Tahoma" w:cs="Tahoma"/>
        </w:rPr>
        <w:footnoteReference w:id="6"/>
      </w:r>
      <w:r>
        <w:rPr>
          <w:rFonts w:ascii="Tahoma" w:hAnsi="Tahoma" w:cs="Tahoma"/>
        </w:rPr>
        <w:t>.</w:t>
      </w:r>
    </w:p>
    <w:p w:rsidR="00EA1967" w:rsidRDefault="00EA1967">
      <w:pPr>
        <w:pStyle w:val="Akapitzlist"/>
        <w:jc w:val="both"/>
        <w:rPr>
          <w:rFonts w:ascii="Tahoma" w:hAnsi="Tahoma" w:cs="Tahoma"/>
        </w:rPr>
      </w:pPr>
    </w:p>
    <w:p w:rsidR="00EA1967" w:rsidRDefault="009E09D3">
      <w:pPr>
        <w:pStyle w:val="Akapitzlist"/>
        <w:jc w:val="both"/>
        <w:rPr>
          <w:rFonts w:ascii="Tahoma" w:hAnsi="Tahoma" w:cs="Tahoma"/>
        </w:rPr>
      </w:pPr>
      <w:r>
        <w:rPr>
          <w:rFonts w:ascii="Tahoma" w:hAnsi="Tahoma" w:cs="Tahoma"/>
        </w:rPr>
        <w:t>Podejście, w którym ustawodawca z góry postanawia wyłączyć kilka kategorii spraw jest niezrozumiałe, albowiem skoro już przyjęte zostało kryterium kręgu uprawnionych osób, to wydaje się, że każda sprawa z jaką dany obywatel się zwróci powinna być rozpatrzona. Nie można znaleźć uzasadnienia dla wyłączenia spraw z zakresu prowadzenia działalności gospodarczej skoro osoby samozatrudnione bardzo często są nieformalnie przymuszane do takiej formy podjęcia pracy i borykają się z poważnymi kłopotami samodzielnie prowadząc jednoosobową działalno</w:t>
      </w:r>
      <w:r w:rsidR="00A006E2">
        <w:rPr>
          <w:rFonts w:ascii="Tahoma" w:hAnsi="Tahoma" w:cs="Tahoma"/>
        </w:rPr>
        <w:t>ść gospodarczą. Podobnie jest z </w:t>
      </w:r>
      <w:r>
        <w:rPr>
          <w:rFonts w:ascii="Tahoma" w:hAnsi="Tahoma" w:cs="Tahoma"/>
        </w:rPr>
        <w:t>wyłączeniem z zakresu prawa handlowego, albowiem fakt, że ktoś prowadzi spółkę prawa handlowego nie oznacza</w:t>
      </w:r>
      <w:r w:rsidR="00A006E2">
        <w:rPr>
          <w:rFonts w:ascii="Tahoma" w:hAnsi="Tahoma" w:cs="Tahoma"/>
        </w:rPr>
        <w:t xml:space="preserve"> wcale że jest osobą majętną, a </w:t>
      </w:r>
      <w:r>
        <w:rPr>
          <w:rFonts w:ascii="Tahoma" w:hAnsi="Tahoma" w:cs="Tahoma"/>
        </w:rPr>
        <w:t>prowadzony biznes może rodzić szereg problemów prawnych a także powodować niedostatek (czasem także niezawiniony).</w:t>
      </w:r>
    </w:p>
    <w:p w:rsidR="00EA1967" w:rsidRDefault="00EA1967">
      <w:pPr>
        <w:pStyle w:val="Akapitzlist"/>
        <w:jc w:val="both"/>
        <w:rPr>
          <w:rFonts w:ascii="Tahoma" w:hAnsi="Tahoma" w:cs="Tahoma"/>
        </w:rPr>
      </w:pPr>
    </w:p>
    <w:p w:rsidR="00EA1967" w:rsidRDefault="009E09D3">
      <w:pPr>
        <w:pStyle w:val="Akapitzlist"/>
        <w:jc w:val="both"/>
        <w:rPr>
          <w:rFonts w:ascii="Tahoma" w:hAnsi="Tahoma" w:cs="Tahoma"/>
        </w:rPr>
      </w:pPr>
      <w:r>
        <w:rPr>
          <w:rFonts w:ascii="Tahoma" w:hAnsi="Tahoma" w:cs="Tahoma"/>
        </w:rPr>
        <w:t>W związku z powyższym należy uznać, że każde wyłączenie przedmiotowe jest bezzasadne i nie powinno znaleźć się w ustawie.</w:t>
      </w:r>
    </w:p>
    <w:p w:rsidR="00EA1967" w:rsidRDefault="00EA1967">
      <w:pPr>
        <w:pStyle w:val="Akapitzlist"/>
        <w:jc w:val="both"/>
        <w:rPr>
          <w:rFonts w:ascii="Tahoma" w:hAnsi="Tahoma" w:cs="Tahoma"/>
        </w:rPr>
      </w:pPr>
    </w:p>
    <w:p w:rsidR="00EA1967" w:rsidRDefault="009E09D3">
      <w:pPr>
        <w:pStyle w:val="Akapitzlist"/>
        <w:numPr>
          <w:ilvl w:val="0"/>
          <w:numId w:val="1"/>
        </w:numPr>
        <w:spacing w:after="120"/>
        <w:jc w:val="both"/>
        <w:rPr>
          <w:rFonts w:ascii="Tahoma" w:hAnsi="Tahoma" w:cs="Tahoma"/>
        </w:rPr>
      </w:pPr>
      <w:r>
        <w:rPr>
          <w:rFonts w:ascii="Tahoma" w:hAnsi="Tahoma" w:cs="Tahoma"/>
          <w:b/>
        </w:rPr>
        <w:t>Rozszerzyć grupę podmiotów uprawnionych do udzielania porad</w:t>
      </w:r>
      <w:r>
        <w:rPr>
          <w:rFonts w:ascii="Tahoma" w:hAnsi="Tahoma" w:cs="Tahoma"/>
        </w:rPr>
        <w:t xml:space="preserve"> - poprzez uwzględnienie w tym systemie akademickich poradni prawnych. </w:t>
      </w:r>
    </w:p>
    <w:p w:rsidR="00EA1967" w:rsidRDefault="00EA1967">
      <w:pPr>
        <w:pStyle w:val="Akapitzlist"/>
        <w:spacing w:after="120"/>
        <w:jc w:val="both"/>
        <w:rPr>
          <w:rFonts w:ascii="Tahoma" w:hAnsi="Tahoma" w:cs="Tahoma"/>
        </w:rPr>
      </w:pPr>
    </w:p>
    <w:p w:rsidR="00EA1967" w:rsidRDefault="009E09D3">
      <w:pPr>
        <w:pStyle w:val="Akapitzlist"/>
        <w:spacing w:after="120"/>
        <w:jc w:val="both"/>
        <w:rPr>
          <w:rFonts w:ascii="Tahoma" w:hAnsi="Tahoma" w:cs="Tahoma"/>
        </w:rPr>
      </w:pPr>
      <w:r>
        <w:rPr>
          <w:rFonts w:ascii="Tahoma" w:hAnsi="Tahoma" w:cs="Tahoma"/>
        </w:rPr>
        <w:t>Obok podmiotów uprawnionych do udzielania porad prawnych na podstawie ustawy o nieodpłatnej pomocy prawnej i edukacji prawnej postulujemy uwzględnienie, wzorem wszystkich dotychczasowych projektów, także sieci studenckich poradni prawnych, zwanych potocznie klinikami prawa. Gwarantem tego są nie tylko studenci przyg</w:t>
      </w:r>
      <w:r w:rsidR="00A006E2">
        <w:rPr>
          <w:rFonts w:ascii="Tahoma" w:hAnsi="Tahoma" w:cs="Tahoma"/>
        </w:rPr>
        <w:t>otowywani specjalnie do pracy w </w:t>
      </w:r>
      <w:r>
        <w:rPr>
          <w:rFonts w:ascii="Tahoma" w:hAnsi="Tahoma" w:cs="Tahoma"/>
        </w:rPr>
        <w:t xml:space="preserve">klinice, ale nadzorujący ich pracę nauczyciele akademiccy oraz radcowie prawni i adwokaci. Dodać należy, że żadna z poradni nie udziela porad ustnie, co eliminuje ryzyko związane zarówno z niezrozumieniem przez klienta przekazywanych informacji, jak i możliwości występowania błędów. Istotną rzeczą, którą należy odnotować jest to, że szkoły wyższe w ramach, których </w:t>
      </w:r>
      <w:r>
        <w:rPr>
          <w:rFonts w:ascii="Tahoma" w:hAnsi="Tahoma" w:cs="Tahoma"/>
        </w:rPr>
        <w:lastRenderedPageBreak/>
        <w:t>funkcjonują mają zawarte specjalne umow</w:t>
      </w:r>
      <w:r w:rsidR="00A006E2">
        <w:rPr>
          <w:rFonts w:ascii="Tahoma" w:hAnsi="Tahoma" w:cs="Tahoma"/>
        </w:rPr>
        <w:t>y obowiązkowego ubezpieczenia z </w:t>
      </w:r>
      <w:r>
        <w:rPr>
          <w:rFonts w:ascii="Tahoma" w:hAnsi="Tahoma" w:cs="Tahoma"/>
        </w:rPr>
        <w:t xml:space="preserve">tytułu odpowiedzialności za udzielane porady prawne. </w:t>
      </w:r>
    </w:p>
    <w:p w:rsidR="00EA1967" w:rsidRDefault="00EA1967">
      <w:pPr>
        <w:pStyle w:val="Akapitzlist"/>
        <w:spacing w:after="120"/>
        <w:jc w:val="both"/>
        <w:rPr>
          <w:rFonts w:ascii="Tahoma" w:hAnsi="Tahoma" w:cs="Tahoma"/>
        </w:rPr>
      </w:pPr>
    </w:p>
    <w:p w:rsidR="00EA1967" w:rsidRDefault="009E09D3">
      <w:pPr>
        <w:pStyle w:val="Akapitzlist"/>
        <w:spacing w:after="120"/>
        <w:jc w:val="both"/>
        <w:rPr>
          <w:rFonts w:ascii="Tahoma" w:hAnsi="Tahoma" w:cs="Tahoma"/>
        </w:rPr>
      </w:pPr>
      <w:r>
        <w:rPr>
          <w:rFonts w:ascii="Tahoma" w:hAnsi="Tahoma" w:cs="Tahoma"/>
        </w:rPr>
        <w:t>Fundacja Uniwersyteckich Poradni Prawnych pozyskała dla tego stanowiska szerokie poparcie w gronie uczelni wyższy</w:t>
      </w:r>
      <w:r w:rsidR="00A006E2">
        <w:rPr>
          <w:rFonts w:ascii="Tahoma" w:hAnsi="Tahoma" w:cs="Tahoma"/>
        </w:rPr>
        <w:t>ch, co potwierdzają podpisane i </w:t>
      </w:r>
      <w:r>
        <w:rPr>
          <w:rFonts w:ascii="Tahoma" w:hAnsi="Tahoma" w:cs="Tahoma"/>
        </w:rPr>
        <w:t>skierowane do Ministra Sprawiedliwości pisma Dziekanów wydziałów prawa następujących uczelni: Uniwersytet Jagielloński, Uniwersytet Wrocławski, Uniwersytet Gdański, Uniwersytet Marii Curie-Skłodowskiej, Uniwersytet Warszawski, Uniwersytet Łódzki, Uniwersytet Kardynała Stefana Wyszyńskiego, Uniwersytet w Białymstoku, Uniwersytet im Adama Mickiewicza w Poznaniu, Akademia Leona Koźmińskiego.</w:t>
      </w:r>
    </w:p>
    <w:p w:rsidR="00EA1967" w:rsidRDefault="00EA1967">
      <w:pPr>
        <w:pStyle w:val="Akapitzlist"/>
        <w:spacing w:after="120"/>
        <w:jc w:val="both"/>
        <w:rPr>
          <w:rFonts w:ascii="Tahoma" w:hAnsi="Tahoma" w:cs="Tahoma"/>
        </w:rPr>
      </w:pPr>
    </w:p>
    <w:p w:rsidR="00EA1967" w:rsidRDefault="009E09D3">
      <w:pPr>
        <w:pStyle w:val="Akapitzlist"/>
        <w:spacing w:after="120"/>
        <w:jc w:val="both"/>
        <w:rPr>
          <w:rFonts w:ascii="Tahoma" w:hAnsi="Tahoma" w:cs="Tahoma"/>
        </w:rPr>
      </w:pPr>
      <w:r>
        <w:rPr>
          <w:rFonts w:ascii="Tahoma" w:hAnsi="Tahoma" w:cs="Tahoma"/>
        </w:rPr>
        <w:t>Należy podkreślić, że przyjęta ustawa, pomijając kliniki prawa, z pewnością ogranicza ich potencjał w realizacji misji społecznej, a tym samym spowoduje zahamowanie ich rozwoju. Warto także w tym miejscu przytoczyć, że wszędzie gdzie kliniki prawa na stałe wrosły w system zapewniania dostępu do pomocy prawnej uboższym obywatelom – znala</w:t>
      </w:r>
      <w:r w:rsidR="00A006E2">
        <w:rPr>
          <w:rFonts w:ascii="Tahoma" w:hAnsi="Tahoma" w:cs="Tahoma"/>
        </w:rPr>
        <w:t>zło to swoje odzwierciedlenie w </w:t>
      </w:r>
      <w:r>
        <w:rPr>
          <w:rFonts w:ascii="Tahoma" w:hAnsi="Tahoma" w:cs="Tahoma"/>
        </w:rPr>
        <w:t>rozwiązaniach legislacyjnych. W wielu krajach świata kliniki prawa stanowią podstawę systemu dostępu do pomocy prawnej, jak np. w Republice Południowej Afryki, Australii, czy USA. Ale także szereg państw Unii Europejskiej wpisało kliniki prawa do swoich regulacji prawnych dotyczących zapewnienia dostępu do bezpłatnej pomocy prawnej (tak jest w Chorwacji, czy na Litwie), zaś od 1.7.2008 r. znamienną regulację wprowadziła Republika Federalna Niemiec ustawą Rechtsdienstleistungsgesetz (BGBl. I S. 2840), gdzie zgodnie z § 6 dopuszczono prowadzenie poradnictwa przez nieprawników działających pod nadzorem i merytoryczną opieką.</w:t>
      </w:r>
    </w:p>
    <w:p w:rsidR="00EA1967" w:rsidRDefault="00EA1967">
      <w:pPr>
        <w:pStyle w:val="Akapitzlist"/>
        <w:spacing w:after="120"/>
        <w:jc w:val="both"/>
        <w:rPr>
          <w:rFonts w:ascii="Tahoma" w:hAnsi="Tahoma" w:cs="Tahoma"/>
        </w:rPr>
      </w:pPr>
    </w:p>
    <w:p w:rsidR="00EA1967" w:rsidRDefault="009E09D3">
      <w:pPr>
        <w:pStyle w:val="Akapitzlist"/>
        <w:spacing w:after="120"/>
        <w:jc w:val="both"/>
        <w:rPr>
          <w:rFonts w:ascii="Tahoma" w:hAnsi="Tahoma" w:cs="Tahoma"/>
        </w:rPr>
      </w:pPr>
      <w:r>
        <w:rPr>
          <w:rFonts w:ascii="Tahoma" w:hAnsi="Tahoma" w:cs="Tahoma"/>
        </w:rPr>
        <w:t xml:space="preserve">Uwzględnienie w tej regulacji akademickich </w:t>
      </w:r>
      <w:r w:rsidR="00A006E2">
        <w:rPr>
          <w:rFonts w:ascii="Tahoma" w:hAnsi="Tahoma" w:cs="Tahoma"/>
        </w:rPr>
        <w:t>poradni prawnych usankcjonuje w </w:t>
      </w:r>
      <w:r>
        <w:rPr>
          <w:rFonts w:ascii="Tahoma" w:hAnsi="Tahoma" w:cs="Tahoma"/>
        </w:rPr>
        <w:t xml:space="preserve">polskim systemie prawa byt tych poradni jako części społecznego i opartego na woluntarystycznej pracy studentów modelu dostępu do pomocy prawnej, który może być także częścią systemowego rozwiązania jakie wprowadziła ustawa o </w:t>
      </w:r>
      <w:r>
        <w:rPr>
          <w:rFonts w:ascii="Tahoma" w:hAnsi="Tahoma" w:cs="Tahoma"/>
          <w:bCs/>
          <w:iCs/>
          <w:lang w:eastAsia="ar-SA"/>
        </w:rPr>
        <w:t>nieodpłatnej pomocy prawnej i edukacji prawnej</w:t>
      </w:r>
      <w:r>
        <w:rPr>
          <w:rFonts w:ascii="Tahoma" w:hAnsi="Tahoma" w:cs="Tahoma"/>
        </w:rPr>
        <w:t xml:space="preserve">. Młodzi studenci prawa w klinikach nie tylko uczą się stosować prawo w praktyce, ale także dzięki możliwości zetknięcia się z prawdziwymi problemami osób potrzebujących uzyskują wrażliwość na potrzeby społeczne i poczucie misji zawodu prawnika. Dzięki tym doświadczeniom absolwenci klinik prawa będą chętnie angażować się w szczytne idee pracy </w:t>
      </w:r>
      <w:r>
        <w:rPr>
          <w:rFonts w:ascii="Tahoma" w:hAnsi="Tahoma" w:cs="Tahoma"/>
          <w:i/>
        </w:rPr>
        <w:t>pro bono</w:t>
      </w:r>
      <w:r>
        <w:rPr>
          <w:rFonts w:ascii="Tahoma" w:hAnsi="Tahoma" w:cs="Tahoma"/>
        </w:rPr>
        <w:t xml:space="preserve"> i bezinteresownej pomocy najuboższym członkom społeczeństwa.</w:t>
      </w:r>
    </w:p>
    <w:p w:rsidR="00EA1967" w:rsidRDefault="00EA1967">
      <w:pPr>
        <w:pStyle w:val="Akapitzlist"/>
        <w:spacing w:after="120"/>
        <w:jc w:val="both"/>
        <w:rPr>
          <w:rFonts w:ascii="Tahoma" w:hAnsi="Tahoma" w:cs="Tahoma"/>
        </w:rPr>
      </w:pPr>
    </w:p>
    <w:p w:rsidR="00EA1967" w:rsidRDefault="009E09D3">
      <w:pPr>
        <w:pStyle w:val="Akapitzlist"/>
        <w:numPr>
          <w:ilvl w:val="0"/>
          <w:numId w:val="1"/>
        </w:numPr>
        <w:spacing w:after="120"/>
        <w:jc w:val="both"/>
        <w:rPr>
          <w:rFonts w:ascii="Tahoma" w:hAnsi="Tahoma" w:cs="Tahoma"/>
          <w:b/>
        </w:rPr>
      </w:pPr>
      <w:r>
        <w:rPr>
          <w:rFonts w:ascii="Tahoma" w:hAnsi="Tahoma" w:cs="Tahoma"/>
          <w:b/>
        </w:rPr>
        <w:t xml:space="preserve">Rozszerzyć ofertę usług oferowanych przez punkty nieodpłatnej pomocy prawnej. </w:t>
      </w:r>
    </w:p>
    <w:p w:rsidR="00EA1967" w:rsidRDefault="00EA1967">
      <w:pPr>
        <w:pStyle w:val="Akapitzlist"/>
        <w:spacing w:after="120"/>
        <w:jc w:val="both"/>
        <w:rPr>
          <w:rFonts w:ascii="Tahoma" w:hAnsi="Tahoma" w:cs="Tahoma"/>
          <w:b/>
        </w:rPr>
      </w:pPr>
    </w:p>
    <w:p w:rsidR="00EA1967" w:rsidRDefault="009E09D3">
      <w:pPr>
        <w:pStyle w:val="Akapitzlist"/>
        <w:spacing w:after="120"/>
        <w:jc w:val="both"/>
        <w:rPr>
          <w:rFonts w:ascii="Tahoma" w:hAnsi="Tahoma" w:cs="Tahoma"/>
        </w:rPr>
      </w:pPr>
      <w:r>
        <w:rPr>
          <w:rFonts w:ascii="Tahoma" w:hAnsi="Tahoma" w:cs="Tahoma"/>
        </w:rPr>
        <w:t>Obecnie zakres usług prawniczych, jakie można uzyskać w punkcie pomocy prawnej ogranicza się do informacji prawnej, porady prawnej, oraz – w bardzo ograniczonym zakresie – do przygotowania pism. Naszym zdaniem skuteczność oferowanej pomocy wymaga, aby ta oferta została rozszerzona na trzy sposoby.</w:t>
      </w:r>
    </w:p>
    <w:p w:rsidR="00EA1967" w:rsidRDefault="00EA1967">
      <w:pPr>
        <w:pStyle w:val="Akapitzlist"/>
        <w:spacing w:after="120"/>
        <w:jc w:val="both"/>
        <w:rPr>
          <w:rFonts w:ascii="Tahoma" w:hAnsi="Tahoma" w:cs="Tahoma"/>
        </w:rPr>
      </w:pPr>
    </w:p>
    <w:p w:rsidR="00EA1967" w:rsidRDefault="009E09D3">
      <w:pPr>
        <w:pStyle w:val="Akapitzlist"/>
        <w:spacing w:after="120"/>
        <w:jc w:val="both"/>
        <w:rPr>
          <w:rFonts w:ascii="Tahoma" w:hAnsi="Tahoma" w:cs="Tahoma"/>
        </w:rPr>
      </w:pPr>
      <w:r>
        <w:rPr>
          <w:rFonts w:ascii="Tahoma" w:hAnsi="Tahoma" w:cs="Tahoma"/>
        </w:rPr>
        <w:lastRenderedPageBreak/>
        <w:t>Po pierwsze, postulujemy, aby prawnicy św</w:t>
      </w:r>
      <w:r w:rsidR="00A006E2">
        <w:rPr>
          <w:rFonts w:ascii="Tahoma" w:hAnsi="Tahoma" w:cs="Tahoma"/>
        </w:rPr>
        <w:t>iadczący pomoc prawną mogli – z </w:t>
      </w:r>
      <w:r>
        <w:rPr>
          <w:rFonts w:ascii="Tahoma" w:hAnsi="Tahoma" w:cs="Tahoma"/>
        </w:rPr>
        <w:t>zachowaniem ograniczeń wynikających z odrębnych przepisów – również reprezentować klientów poza sądami i  w sz</w:t>
      </w:r>
      <w:r w:rsidR="00A006E2">
        <w:rPr>
          <w:rFonts w:ascii="Tahoma" w:hAnsi="Tahoma" w:cs="Tahoma"/>
        </w:rPr>
        <w:t>erszym zakresie przygotowywać w </w:t>
      </w:r>
      <w:r>
        <w:rPr>
          <w:rFonts w:ascii="Tahoma" w:hAnsi="Tahoma" w:cs="Tahoma"/>
        </w:rPr>
        <w:t>ich imieniu pisma procesowe. Pozwoli to na zwiększenie skuteczności pomocy prawnej i wytworzenie wśród klientów lepszej świadomości marki systemu pomocy.</w:t>
      </w:r>
    </w:p>
    <w:p w:rsidR="00EA1967" w:rsidRDefault="00EA1967">
      <w:pPr>
        <w:pStyle w:val="Akapitzlist"/>
        <w:spacing w:after="120"/>
        <w:jc w:val="both"/>
        <w:rPr>
          <w:rFonts w:ascii="Tahoma" w:hAnsi="Tahoma" w:cs="Tahoma"/>
        </w:rPr>
      </w:pPr>
    </w:p>
    <w:p w:rsidR="00EA1967" w:rsidRDefault="009E09D3">
      <w:pPr>
        <w:pStyle w:val="Akapitzlist"/>
        <w:spacing w:after="120"/>
        <w:jc w:val="both"/>
        <w:rPr>
          <w:rFonts w:ascii="Tahoma" w:hAnsi="Tahoma" w:cs="Tahoma"/>
        </w:rPr>
      </w:pPr>
      <w:r>
        <w:rPr>
          <w:rFonts w:ascii="Tahoma" w:hAnsi="Tahoma" w:cs="Tahoma"/>
        </w:rPr>
        <w:t>Po drugie, postulujemy aby wzorem niektórych innych systemów pomocy prawnej, pomoc w punktach nieodpłatnej pomocy prawnej mogli świadczyć również mediatorzy. Możliwość taka powinna być zapewniana przez organizacje pozarządowe,  które mogłyby zawierać umowy z odpowiednimi specjalistami. Wprowadzenie usługi mediacji jako usługi opłacanej z systemu powinno przyczynić się do lepszego rozpowszechnienia mediacji w Polsce oraz przynieść korzyści ogólnospołeczne, np. w postaci odciążenia systemu sądownictwa.</w:t>
      </w:r>
    </w:p>
    <w:p w:rsidR="00EA1967" w:rsidRDefault="00EA1967">
      <w:pPr>
        <w:pStyle w:val="Akapitzlist"/>
        <w:spacing w:after="120"/>
        <w:jc w:val="both"/>
        <w:rPr>
          <w:rFonts w:ascii="Tahoma" w:hAnsi="Tahoma" w:cs="Tahoma"/>
        </w:rPr>
      </w:pPr>
    </w:p>
    <w:p w:rsidR="00EA1967" w:rsidRDefault="009E09D3">
      <w:pPr>
        <w:pStyle w:val="Akapitzlist"/>
        <w:spacing w:after="120"/>
        <w:jc w:val="both"/>
        <w:rPr>
          <w:rFonts w:ascii="Tahoma" w:hAnsi="Tahoma" w:cs="Tahoma"/>
        </w:rPr>
      </w:pPr>
      <w:r>
        <w:rPr>
          <w:rFonts w:ascii="Tahoma" w:hAnsi="Tahoma" w:cs="Tahoma"/>
        </w:rPr>
        <w:t>Po trzecie, dobrą praktyką niektórych systemów pomocy prawnej (a także niektórych organizacji pozarządowych w Polsce) jest to, aby istniała możliwość świadczenia pomocy prawnej poza wyznaczonymi punktami. Pozwala to na lepsze zintegrowanie nieodpłatnej pomocy prawnej z innymi usługami społecznymi, na przykład świadczonymi w ramach pomocy społecznej, oraz na świadczenie pomocy prawnej w modelu „wczesnej interwencji”. System powinien więc pozwalać organizacjom świadczącym pomoc prawną na przeznaczenie części opłacanych godzin na u</w:t>
      </w:r>
      <w:r w:rsidR="00A006E2">
        <w:rPr>
          <w:rFonts w:ascii="Tahoma" w:hAnsi="Tahoma" w:cs="Tahoma"/>
        </w:rPr>
        <w:t>dzielanie pomocy w miejscach, w </w:t>
      </w:r>
      <w:r>
        <w:rPr>
          <w:rFonts w:ascii="Tahoma" w:hAnsi="Tahoma" w:cs="Tahoma"/>
        </w:rPr>
        <w:t>których przebywają osoby, o których wiadomo że doświadczają problemów określonego rodzaju (np. ośrodki pomocy społecznej, domy pomocy społecznej i inne instytucje opieki długoterminowej, placówki służby zdrowia, miejsca świadczenia usług finansowych czy nawet centra handlowe).</w:t>
      </w:r>
    </w:p>
    <w:p w:rsidR="00EA1967" w:rsidRDefault="00EA1967">
      <w:pPr>
        <w:pStyle w:val="Akapitzlist"/>
        <w:spacing w:after="120"/>
        <w:jc w:val="both"/>
        <w:rPr>
          <w:rFonts w:ascii="Tahoma" w:hAnsi="Tahoma" w:cs="Tahoma"/>
        </w:rPr>
      </w:pPr>
    </w:p>
    <w:p w:rsidR="00EA1967" w:rsidRDefault="009E09D3">
      <w:pPr>
        <w:pStyle w:val="Akapitzlist"/>
        <w:numPr>
          <w:ilvl w:val="0"/>
          <w:numId w:val="1"/>
        </w:numPr>
        <w:spacing w:after="120"/>
        <w:jc w:val="both"/>
        <w:rPr>
          <w:rFonts w:ascii="Tahoma" w:hAnsi="Tahoma" w:cs="Tahoma"/>
          <w:b/>
          <w:bCs/>
          <w:iCs/>
          <w:lang w:eastAsia="ar-SA"/>
        </w:rPr>
      </w:pPr>
      <w:r>
        <w:rPr>
          <w:rFonts w:ascii="Tahoma" w:hAnsi="Tahoma" w:cs="Tahoma"/>
          <w:b/>
          <w:bCs/>
          <w:iCs/>
          <w:lang w:eastAsia="ar-SA"/>
        </w:rPr>
        <w:t>Wprowadzenie mechanizmów badania jakości świadczenia nieodpłatnej pomocy prawnej.</w:t>
      </w:r>
    </w:p>
    <w:p w:rsidR="00EA1967" w:rsidRDefault="00EA1967">
      <w:pPr>
        <w:pStyle w:val="Akapitzlist"/>
        <w:jc w:val="both"/>
        <w:rPr>
          <w:rFonts w:ascii="Tahoma" w:hAnsi="Tahoma" w:cs="Tahoma"/>
        </w:rPr>
      </w:pPr>
    </w:p>
    <w:p w:rsidR="00EA1967" w:rsidRDefault="009E09D3">
      <w:pPr>
        <w:pStyle w:val="Akapitzlist"/>
        <w:jc w:val="both"/>
        <w:rPr>
          <w:rFonts w:ascii="Tahoma" w:hAnsi="Tahoma" w:cs="Tahoma"/>
        </w:rPr>
      </w:pPr>
      <w:r>
        <w:rPr>
          <w:rFonts w:ascii="Tahoma" w:hAnsi="Tahoma" w:cs="Tahoma"/>
        </w:rPr>
        <w:t xml:space="preserve">Koniecznym elementem nowelizacji powinno być wprowadzenie mechanizmów badania i oceny jakości udzielanej pomocy prawnej. Możliwa jest organizacja odpowiednich szkoleń dla usługodawców, ustalenie standardów minimalnych tych usług, określenie sposobu dokumentacji działań osób udzielających pomocy, wprowadzenie możliwości oceny satysfakcji klienta (poprzez wypełnianie anonimowych ankiet), ocena krzyżowa przez innych prawników (tzw. </w:t>
      </w:r>
      <w:r>
        <w:rPr>
          <w:rFonts w:ascii="Tahoma" w:hAnsi="Tahoma" w:cs="Tahoma"/>
          <w:i/>
        </w:rPr>
        <w:t>peer review</w:t>
      </w:r>
      <w:r>
        <w:rPr>
          <w:rFonts w:ascii="Tahoma" w:hAnsi="Tahoma" w:cs="Tahoma"/>
        </w:rPr>
        <w:t>), opracowanie wskaźników, które pozwalałyby ocenić jakość i efektywność systemu. A co najważniejsze, w ustawie powinien znajdować się mechanizm odpowiedzialności za niedopełnienie jakości świadczonej pomocy, skutkujący skreśleniem z listy usługodawców nieodpłatnej pomocy prawnej, czy też okresowym zakazem zawarcia kontraktu na świadczenie pomocy w</w:t>
      </w:r>
      <w:r w:rsidR="00A006E2">
        <w:rPr>
          <w:rFonts w:ascii="Tahoma" w:hAnsi="Tahoma" w:cs="Tahoma"/>
        </w:rPr>
        <w:t> </w:t>
      </w:r>
      <w:r>
        <w:rPr>
          <w:rFonts w:ascii="Tahoma" w:hAnsi="Tahoma" w:cs="Tahoma"/>
        </w:rPr>
        <w:t>tym systemie.</w:t>
      </w:r>
    </w:p>
    <w:p w:rsidR="00EA1967" w:rsidRDefault="00EA1967">
      <w:pPr>
        <w:pStyle w:val="Akapitzlist"/>
        <w:jc w:val="both"/>
        <w:rPr>
          <w:rFonts w:ascii="Tahoma" w:hAnsi="Tahoma" w:cs="Tahoma"/>
        </w:rPr>
      </w:pPr>
    </w:p>
    <w:p w:rsidR="00EA1967" w:rsidRDefault="00EA1967">
      <w:pPr>
        <w:pStyle w:val="Akapitzlist"/>
        <w:jc w:val="both"/>
        <w:rPr>
          <w:rFonts w:ascii="Tahoma" w:hAnsi="Tahoma" w:cs="Tahoma"/>
        </w:rPr>
      </w:pPr>
    </w:p>
    <w:p w:rsidR="00EA1967" w:rsidRDefault="00EA1967">
      <w:pPr>
        <w:pStyle w:val="Akapitzlist"/>
        <w:jc w:val="both"/>
        <w:rPr>
          <w:rFonts w:ascii="Tahoma" w:hAnsi="Tahoma" w:cs="Tahoma"/>
        </w:rPr>
      </w:pPr>
    </w:p>
    <w:p w:rsidR="00EA1967" w:rsidRDefault="009E09D3">
      <w:pPr>
        <w:pStyle w:val="Akapitzlist"/>
        <w:numPr>
          <w:ilvl w:val="0"/>
          <w:numId w:val="1"/>
        </w:numPr>
        <w:jc w:val="both"/>
        <w:rPr>
          <w:rFonts w:ascii="Tahoma" w:hAnsi="Tahoma" w:cs="Tahoma"/>
          <w:b/>
          <w:bCs/>
          <w:iCs/>
          <w:lang w:eastAsia="ar-SA"/>
        </w:rPr>
      </w:pPr>
      <w:r>
        <w:rPr>
          <w:rFonts w:ascii="Tahoma" w:hAnsi="Tahoma" w:cs="Tahoma"/>
          <w:b/>
          <w:bCs/>
          <w:iCs/>
          <w:lang w:eastAsia="ar-SA"/>
        </w:rPr>
        <w:lastRenderedPageBreak/>
        <w:t>Rozszerzenie możliwości finansowania systemu nieodpłatnej pomocy prawnej oraz rozwiązanie problem podatku VAT.</w:t>
      </w:r>
    </w:p>
    <w:p w:rsidR="00EA1967" w:rsidRDefault="00EA1967">
      <w:pPr>
        <w:pStyle w:val="Akapitzlist"/>
        <w:jc w:val="both"/>
        <w:rPr>
          <w:rFonts w:ascii="Tahoma" w:hAnsi="Tahoma" w:cs="Tahoma"/>
        </w:rPr>
      </w:pPr>
    </w:p>
    <w:p w:rsidR="00EA1967" w:rsidRDefault="009E09D3">
      <w:pPr>
        <w:pStyle w:val="Akapitzlist"/>
        <w:jc w:val="both"/>
        <w:rPr>
          <w:rFonts w:ascii="Tahoma" w:hAnsi="Tahoma" w:cs="Tahoma"/>
        </w:rPr>
      </w:pPr>
      <w:r>
        <w:rPr>
          <w:rFonts w:ascii="Tahoma" w:hAnsi="Tahoma" w:cs="Tahoma"/>
        </w:rPr>
        <w:t xml:space="preserve">Prócz środków z budżetu Państwa, warto rozważyć tworzenie uzupełniających sposobów utrzymania systemu. Wskazanym byłoby stworzenie Funduszu Pomocy Prawnej, którego dysponentem byłaby Rada Nieodpłatnej Pomocy Prawnej i Edukacji Prawnej, a środki z funduszu przeznaczane byłyby na udoskonalanie działania systemu pomocy prawnej. Na konto tego Funduszu można by przekazywać środki z darowizn i zapisów; nawiązki orzekane przez sądy; orzekane grzywny lub część grzywien. Wzorem Francji – konto Funduszu mogłoby być także tym kontem, na które wpłacano by środki z tytułu kaucji czy zabezpieczeń majątkowych, a które dotychczas były wpłacane do kasy sądów. Odsetki od zgromadzonych wpłat zasilałyby Fundusz. </w:t>
      </w:r>
    </w:p>
    <w:p w:rsidR="00EA1967" w:rsidRDefault="00EA1967">
      <w:pPr>
        <w:pStyle w:val="Akapitzlist"/>
        <w:jc w:val="both"/>
        <w:rPr>
          <w:rFonts w:ascii="Tahoma" w:hAnsi="Tahoma" w:cs="Tahoma"/>
        </w:rPr>
      </w:pPr>
    </w:p>
    <w:p w:rsidR="00EA1967" w:rsidRDefault="009E09D3">
      <w:pPr>
        <w:pStyle w:val="Akapitzlist"/>
        <w:jc w:val="both"/>
        <w:rPr>
          <w:rFonts w:ascii="Tahoma" w:hAnsi="Tahoma" w:cs="Tahoma"/>
        </w:rPr>
      </w:pPr>
      <w:r>
        <w:rPr>
          <w:rFonts w:ascii="Tahoma" w:hAnsi="Tahoma" w:cs="Tahoma"/>
        </w:rPr>
        <w:t>Do rozwiązania pozostaje problem podatku VAT należnego od wynagrodzenia usługodawcy w systemie nieodpłatnej pomocy prawnej. Z uwagi na cel działalności i wysokość cen usług Komisja Europejska postuluje zwolnienie tych usług z obowiązku podatku VAT. We wszystkich krajach członkowskich UE z wyjątkiem Polski tzw. Szósta Dyrektywa VAT</w:t>
      </w:r>
      <w:r>
        <w:rPr>
          <w:rStyle w:val="Zakotwiczenieprzypisudolnego"/>
          <w:rFonts w:ascii="Tahoma" w:hAnsi="Tahoma" w:cs="Tahoma"/>
        </w:rPr>
        <w:footnoteReference w:id="7"/>
      </w:r>
      <w:r>
        <w:rPr>
          <w:rFonts w:ascii="Tahoma" w:hAnsi="Tahoma" w:cs="Tahoma"/>
        </w:rPr>
        <w:t xml:space="preserve"> wykładana jest w ten sposób, że umożliwia zwolnienie podatkowe dla pomocy prawnej świadczonej </w:t>
      </w:r>
      <w:r>
        <w:rPr>
          <w:rFonts w:ascii="Tahoma" w:hAnsi="Tahoma" w:cs="Tahoma"/>
          <w:iCs/>
        </w:rPr>
        <w:t xml:space="preserve">pro bono. </w:t>
      </w:r>
      <w:r>
        <w:rPr>
          <w:rFonts w:ascii="Tahoma" w:hAnsi="Tahoma" w:cs="Tahoma"/>
        </w:rPr>
        <w:t>W Polsce taką interpretację można wywieść jedynie z interpretacji Ministra Finansów - której nie stosują nawet podległe MF organy skarbowe. Dodatkowo brak ustawowego zwolnienia powoduje, że niektórzy świadczeniodawcy – nie prowadzący działalności gospodarczej lub zakładający taką działalność tylko w celu świadczenia pomocy zgodnie z obowiązującą ustawą, mogą nie być podatnikami VAT (to jest do chwili osiągnięcia odpowiedniego poziomu obrotów) i dzięki temu będą uprzywilejowani względem pozostałych świadczeniodawców.</w:t>
      </w:r>
    </w:p>
    <w:p w:rsidR="00EA1967" w:rsidRDefault="00EA1967">
      <w:pPr>
        <w:jc w:val="both"/>
        <w:rPr>
          <w:rFonts w:ascii="Tahoma" w:hAnsi="Tahoma" w:cs="Tahoma"/>
          <w:b/>
        </w:rPr>
      </w:pPr>
    </w:p>
    <w:p w:rsidR="00EA1967" w:rsidRDefault="009E09D3">
      <w:pPr>
        <w:jc w:val="both"/>
        <w:rPr>
          <w:rFonts w:ascii="Tahoma" w:hAnsi="Tahoma" w:cs="Tahoma"/>
          <w:b/>
        </w:rPr>
      </w:pPr>
      <w:r>
        <w:rPr>
          <w:rFonts w:ascii="Tahoma" w:hAnsi="Tahoma" w:cs="Tahoma"/>
          <w:b/>
        </w:rPr>
        <w:t>Podsumowanie</w:t>
      </w:r>
    </w:p>
    <w:p w:rsidR="00EA1967" w:rsidRDefault="009E09D3">
      <w:pPr>
        <w:jc w:val="both"/>
        <w:rPr>
          <w:rFonts w:ascii="Tahoma" w:hAnsi="Tahoma" w:cs="Tahoma"/>
        </w:rPr>
      </w:pPr>
      <w:r>
        <w:rPr>
          <w:rFonts w:ascii="Tahoma" w:hAnsi="Tahoma" w:cs="Tahoma"/>
        </w:rPr>
        <w:t xml:space="preserve">Prawo do nieodpłatnej pomocy prawnej zapewnionej i finansowanej przez instytucje Państwa wynika przede wszystkim z dwóch przesłanek: prawa do pomocy społecznej oraz konstytucyjnej gwarancji prawa do sądu. System dostępu do prawa nie może bazować jedynie na przesłankach wynikających z uprawnień do pomocy socjalnej, zaś uprawnienie do korzystania z bezpłatnej pomocy prawnej nie powinno ograniczać się wyłącznie do kryteriów wynikających z ubóstwa. Skuteczny dostęp do wymiaru sprawiedliwości, powinien zapewniać nie tylko reprezentowanie strony przez profesjonalnego pełnomocnika w trakcie procesu, </w:t>
      </w:r>
      <w:r w:rsidR="00A006E2">
        <w:rPr>
          <w:rFonts w:ascii="Tahoma" w:hAnsi="Tahoma" w:cs="Tahoma"/>
        </w:rPr>
        <w:t>ale musi mieć solidne oparcie w </w:t>
      </w:r>
      <w:r>
        <w:rPr>
          <w:rFonts w:ascii="Tahoma" w:hAnsi="Tahoma" w:cs="Tahoma"/>
        </w:rPr>
        <w:t xml:space="preserve">dostępie do pozasądowego poradnictwa prawnego. </w:t>
      </w:r>
    </w:p>
    <w:p w:rsidR="00EA1967" w:rsidRDefault="00EA1967">
      <w:pPr>
        <w:jc w:val="both"/>
        <w:rPr>
          <w:rFonts w:ascii="Tahoma" w:hAnsi="Tahoma" w:cs="Tahoma"/>
        </w:rPr>
      </w:pPr>
    </w:p>
    <w:p w:rsidR="00EA1967" w:rsidRDefault="009E09D3">
      <w:pPr>
        <w:jc w:val="both"/>
        <w:rPr>
          <w:rFonts w:ascii="Tahoma" w:hAnsi="Tahoma" w:cs="Tahoma"/>
        </w:rPr>
      </w:pPr>
      <w:r>
        <w:rPr>
          <w:rFonts w:ascii="Tahoma" w:hAnsi="Tahoma" w:cs="Tahoma"/>
        </w:rPr>
        <w:t xml:space="preserve">Znaczna część społeczeństwa nie potrafi poruszać się w istniejącym systemie prawnym, nie zna obowiązujących procedur i nie umie korzystać z przysługujących uprawnień. Osoby te wymagają profesjonalnego wsparcia w zakresie odpowiadającym istniejącym potrzebom, a udzielona na czas porada prawna może </w:t>
      </w:r>
      <w:r>
        <w:rPr>
          <w:rFonts w:ascii="Tahoma" w:hAnsi="Tahoma" w:cs="Tahoma"/>
        </w:rPr>
        <w:lastRenderedPageBreak/>
        <w:t>pozwolić na uniknięcie sporu sądowego, bą</w:t>
      </w:r>
      <w:r w:rsidR="00071C95">
        <w:rPr>
          <w:rFonts w:ascii="Tahoma" w:hAnsi="Tahoma" w:cs="Tahoma"/>
        </w:rPr>
        <w:t>dź to przez rezygnację strony z </w:t>
      </w:r>
      <w:r>
        <w:rPr>
          <w:rFonts w:ascii="Tahoma" w:hAnsi="Tahoma" w:cs="Tahoma"/>
        </w:rPr>
        <w:t>dochodzenia niesłusznych roszczeń, bądź to przez ugodowe rozwiązanie konfliktu.</w:t>
      </w:r>
    </w:p>
    <w:p w:rsidR="00EA1967" w:rsidRDefault="00EA1967">
      <w:pPr>
        <w:jc w:val="both"/>
        <w:rPr>
          <w:rFonts w:ascii="Tahoma" w:hAnsi="Tahoma" w:cs="Tahoma"/>
        </w:rPr>
      </w:pPr>
    </w:p>
    <w:p w:rsidR="00EA1967" w:rsidRDefault="009E09D3">
      <w:pPr>
        <w:jc w:val="both"/>
        <w:rPr>
          <w:rFonts w:ascii="Tahoma" w:hAnsi="Tahoma" w:cs="Tahoma"/>
        </w:rPr>
      </w:pPr>
      <w:r>
        <w:rPr>
          <w:rFonts w:ascii="Tahoma" w:hAnsi="Tahoma" w:cs="Tahoma"/>
        </w:rPr>
        <w:t>Obowiązująca ustawa przy wielu swoich wadach, o których była mowa powyżej, ma jedną podstawową zaletę – jest (!) i zapewniła setkom tysięcy Polaków dostęp do bezpłatnej pomocy prawnej. Warto więc zastano</w:t>
      </w:r>
      <w:r w:rsidR="00071C95">
        <w:rPr>
          <w:rFonts w:ascii="Tahoma" w:hAnsi="Tahoma" w:cs="Tahoma"/>
        </w:rPr>
        <w:t>wić się jak szybko reformować i </w:t>
      </w:r>
      <w:r>
        <w:rPr>
          <w:rFonts w:ascii="Tahoma" w:hAnsi="Tahoma" w:cs="Tahoma"/>
        </w:rPr>
        <w:t>udoskonalać to co już udało się powołać do życia, a instytucja ta będzie zyskiwać na zaufaniu osób potrzebujących.</w:t>
      </w:r>
    </w:p>
    <w:p w:rsidR="00EA1967" w:rsidRDefault="00EA1967">
      <w:pPr>
        <w:ind w:right="632"/>
        <w:rPr>
          <w:rFonts w:ascii="Tahoma" w:hAnsi="Tahoma" w:cs="Tahoma"/>
        </w:rPr>
      </w:pPr>
    </w:p>
    <w:p w:rsidR="00EA1967" w:rsidRDefault="00EA1967">
      <w:pPr>
        <w:ind w:right="632"/>
        <w:rPr>
          <w:rFonts w:ascii="Tahoma" w:hAnsi="Tahoma" w:cs="Tahoma"/>
        </w:rPr>
      </w:pPr>
    </w:p>
    <w:p w:rsidR="00EA1967" w:rsidRDefault="00EA1967">
      <w:pPr>
        <w:ind w:right="632"/>
        <w:rPr>
          <w:rFonts w:ascii="Tahoma" w:hAnsi="Tahoma" w:cs="Tahoma"/>
        </w:rPr>
      </w:pPr>
    </w:p>
    <w:p w:rsidR="00EA1967" w:rsidRDefault="00EA1967">
      <w:pPr>
        <w:ind w:right="632"/>
        <w:rPr>
          <w:rFonts w:ascii="Tahoma" w:hAnsi="Tahoma" w:cs="Tahoma"/>
          <w:sz w:val="20"/>
        </w:rPr>
      </w:pPr>
    </w:p>
    <w:p w:rsidR="00EA1967" w:rsidRPr="00071C95" w:rsidRDefault="00120087">
      <w:pPr>
        <w:ind w:right="632"/>
        <w:rPr>
          <w:rFonts w:ascii="Tahoma" w:hAnsi="Tahoma" w:cs="Tahoma"/>
          <w:sz w:val="22"/>
        </w:rPr>
      </w:pPr>
      <w:r w:rsidRPr="00071C95">
        <w:rPr>
          <w:rFonts w:ascii="Tahoma" w:hAnsi="Tahoma" w:cs="Tahoma"/>
          <w:sz w:val="22"/>
        </w:rPr>
        <w:t xml:space="preserve">/-/ </w:t>
      </w:r>
      <w:r w:rsidR="009E09D3" w:rsidRPr="00071C95">
        <w:rPr>
          <w:rFonts w:ascii="Tahoma" w:hAnsi="Tahoma" w:cs="Tahoma"/>
          <w:sz w:val="22"/>
        </w:rPr>
        <w:t>dr Filip Czernicki</w:t>
      </w:r>
    </w:p>
    <w:p w:rsidR="00EA1967" w:rsidRPr="00071C95" w:rsidRDefault="009E09D3">
      <w:pPr>
        <w:ind w:right="632"/>
        <w:rPr>
          <w:rFonts w:ascii="Tahoma" w:hAnsi="Tahoma" w:cs="Tahoma"/>
          <w:sz w:val="22"/>
        </w:rPr>
      </w:pPr>
      <w:r w:rsidRPr="00071C95">
        <w:rPr>
          <w:rFonts w:ascii="Tahoma" w:hAnsi="Tahoma" w:cs="Tahoma"/>
          <w:sz w:val="22"/>
        </w:rPr>
        <w:t>Prezes Zarządu Fundacji Uniwersyteckich Poradni Prawnych</w:t>
      </w:r>
    </w:p>
    <w:p w:rsidR="00EA1967" w:rsidRPr="00071C95" w:rsidRDefault="009E09D3">
      <w:pPr>
        <w:rPr>
          <w:rFonts w:ascii="Tahoma" w:hAnsi="Tahoma" w:cs="Tahoma"/>
          <w:sz w:val="22"/>
        </w:rPr>
      </w:pPr>
      <w:r w:rsidRPr="00071C95">
        <w:rPr>
          <w:rFonts w:ascii="Tahoma" w:hAnsi="Tahoma" w:cs="Tahoma"/>
          <w:sz w:val="22"/>
        </w:rPr>
        <w:t>Przewodniczący Komisji Rewizyjnej Ogólnopolskiej Federacji Organizacji Pozarządowych</w:t>
      </w:r>
    </w:p>
    <w:p w:rsidR="00EA1967" w:rsidRPr="00071C95" w:rsidRDefault="00EA1967">
      <w:pPr>
        <w:rPr>
          <w:rFonts w:ascii="Tahoma" w:hAnsi="Tahoma" w:cs="Tahoma"/>
          <w:sz w:val="22"/>
        </w:rPr>
      </w:pPr>
    </w:p>
    <w:p w:rsidR="00EA1967" w:rsidRPr="00071C95" w:rsidRDefault="00120087">
      <w:pPr>
        <w:rPr>
          <w:rFonts w:ascii="Tahoma" w:hAnsi="Tahoma" w:cs="Tahoma"/>
          <w:sz w:val="22"/>
        </w:rPr>
      </w:pPr>
      <w:r w:rsidRPr="00071C95">
        <w:rPr>
          <w:rFonts w:ascii="Tahoma" w:hAnsi="Tahoma" w:cs="Tahoma"/>
          <w:sz w:val="22"/>
        </w:rPr>
        <w:t xml:space="preserve">/-/ </w:t>
      </w:r>
      <w:r w:rsidR="009E09D3" w:rsidRPr="00071C95">
        <w:rPr>
          <w:rFonts w:ascii="Tahoma" w:hAnsi="Tahoma" w:cs="Tahoma"/>
          <w:sz w:val="22"/>
        </w:rPr>
        <w:t>dr Jan Winczorek</w:t>
      </w:r>
    </w:p>
    <w:p w:rsidR="00EA1967" w:rsidRPr="00071C95" w:rsidRDefault="009E09D3">
      <w:pPr>
        <w:rPr>
          <w:rFonts w:ascii="Tahoma" w:hAnsi="Tahoma" w:cs="Tahoma"/>
          <w:sz w:val="22"/>
        </w:rPr>
      </w:pPr>
      <w:r w:rsidRPr="00071C95">
        <w:rPr>
          <w:rFonts w:ascii="Tahoma" w:hAnsi="Tahoma" w:cs="Tahoma"/>
          <w:sz w:val="22"/>
        </w:rPr>
        <w:t>Pracownik naukowy  w Katedrze Filozofii Prawa i Na</w:t>
      </w:r>
      <w:r w:rsidR="00071C95">
        <w:rPr>
          <w:rFonts w:ascii="Tahoma" w:hAnsi="Tahoma" w:cs="Tahoma"/>
          <w:sz w:val="22"/>
        </w:rPr>
        <w:t>uki o Państwie Wydziału Prawa i </w:t>
      </w:r>
      <w:bookmarkStart w:id="0" w:name="_GoBack"/>
      <w:bookmarkEnd w:id="0"/>
      <w:r w:rsidRPr="00071C95">
        <w:rPr>
          <w:rFonts w:ascii="Tahoma" w:hAnsi="Tahoma" w:cs="Tahoma"/>
          <w:sz w:val="22"/>
        </w:rPr>
        <w:t>Administracji Uniwersytetu Warszawskiego</w:t>
      </w:r>
    </w:p>
    <w:p w:rsidR="00EA1967" w:rsidRPr="00071C95" w:rsidRDefault="009E09D3">
      <w:pPr>
        <w:rPr>
          <w:rFonts w:ascii="Tahoma" w:hAnsi="Tahoma" w:cs="Tahoma"/>
          <w:sz w:val="22"/>
        </w:rPr>
      </w:pPr>
      <w:r w:rsidRPr="00071C95">
        <w:rPr>
          <w:rFonts w:ascii="Tahoma" w:hAnsi="Tahoma" w:cs="Tahoma"/>
          <w:sz w:val="22"/>
        </w:rPr>
        <w:t>Ekspert Fundacji Academia Iuris i Fundacji INPRIS</w:t>
      </w:r>
    </w:p>
    <w:p w:rsidR="00EA1967" w:rsidRDefault="00EA1967">
      <w:pPr>
        <w:rPr>
          <w:rFonts w:ascii="Tahoma" w:hAnsi="Tahoma" w:cs="Tahoma"/>
        </w:rPr>
      </w:pPr>
    </w:p>
    <w:p w:rsidR="00EA1967" w:rsidRDefault="00EA1967">
      <w:pPr>
        <w:rPr>
          <w:rFonts w:ascii="Tahoma" w:hAnsi="Tahoma" w:cs="Tahoma"/>
        </w:rPr>
      </w:pPr>
    </w:p>
    <w:p w:rsidR="00EA1967" w:rsidRDefault="00EA1967">
      <w:pPr>
        <w:rPr>
          <w:rFonts w:ascii="Tahoma" w:hAnsi="Tahoma" w:cs="Tahoma"/>
        </w:rPr>
      </w:pPr>
    </w:p>
    <w:p w:rsidR="00EA1967" w:rsidRDefault="00EA1967">
      <w:pPr>
        <w:rPr>
          <w:rFonts w:ascii="Tahoma" w:hAnsi="Tahoma" w:cs="Tahoma"/>
        </w:rPr>
      </w:pPr>
    </w:p>
    <w:p w:rsidR="00EA1967" w:rsidRDefault="00EA1967">
      <w:pPr>
        <w:spacing w:after="200"/>
        <w:rPr>
          <w:rFonts w:ascii="Tahoma" w:hAnsi="Tahoma" w:cs="Tahoma"/>
          <w:b/>
          <w:u w:val="single"/>
        </w:rPr>
      </w:pPr>
    </w:p>
    <w:p w:rsidR="00EA1967" w:rsidRDefault="009E09D3">
      <w:pPr>
        <w:pageBreakBefore/>
        <w:jc w:val="both"/>
        <w:rPr>
          <w:rFonts w:ascii="Tahoma" w:hAnsi="Tahoma" w:cs="Tahoma"/>
          <w:b/>
          <w:u w:val="single"/>
        </w:rPr>
      </w:pPr>
      <w:r>
        <w:rPr>
          <w:rFonts w:ascii="Tahoma" w:hAnsi="Tahoma" w:cs="Tahoma"/>
          <w:b/>
          <w:u w:val="single"/>
        </w:rPr>
        <w:lastRenderedPageBreak/>
        <w:t>Załącznik dotyczący proponowanego zakresu nowelizacji w zakresie dopisania klinik prawa do ustawy (warto zauważyć, że to tylko 25 podmiotów, które będą mogły uczestniczyć w konkursach w ramach puli dostępnej NGO’som):</w:t>
      </w:r>
    </w:p>
    <w:p w:rsidR="00EA1967" w:rsidRDefault="00EA1967">
      <w:pPr>
        <w:jc w:val="both"/>
        <w:rPr>
          <w:rFonts w:ascii="Tahoma" w:hAnsi="Tahoma" w:cs="Tahoma"/>
          <w:b/>
          <w:u w:val="single"/>
        </w:rPr>
      </w:pPr>
    </w:p>
    <w:p w:rsidR="00EA1967" w:rsidRDefault="009E09D3">
      <w:pPr>
        <w:pStyle w:val="ARTartustawynprozporzdzenia"/>
        <w:spacing w:line="240" w:lineRule="auto"/>
        <w:ind w:firstLine="0"/>
        <w:rPr>
          <w:rFonts w:ascii="Tahoma" w:hAnsi="Tahoma" w:cs="Tahoma"/>
          <w:szCs w:val="24"/>
        </w:rPr>
      </w:pPr>
      <w:r>
        <w:rPr>
          <w:rFonts w:ascii="Tahoma" w:hAnsi="Tahoma" w:cs="Tahoma"/>
          <w:bCs/>
          <w:szCs w:val="24"/>
        </w:rPr>
        <w:t xml:space="preserve">„Art. 11. </w:t>
      </w:r>
      <w:r>
        <w:rPr>
          <w:rFonts w:ascii="Tahoma" w:hAnsi="Tahoma" w:cs="Tahoma"/>
          <w:szCs w:val="24"/>
        </w:rPr>
        <w:t>1. Powiat powierza prowadzenie połowy punktów nieodpłatnej pomocy prawnej organizacji pozarządowej prowadzącej działalność pożytku publicznego</w:t>
      </w:r>
      <w:r>
        <w:rPr>
          <w:rFonts w:ascii="Tahoma" w:hAnsi="Tahoma" w:cs="Tahoma"/>
          <w:b/>
          <w:bCs/>
          <w:szCs w:val="24"/>
        </w:rPr>
        <w:t>, lub szkołom wyższym, które świadczą nieodpłatną pomoc prawną w ramach akademickiej poradni prawnej – zwanych dalej łącznie Organizacją</w:t>
      </w:r>
      <w:r>
        <w:rPr>
          <w:rFonts w:ascii="Tahoma" w:hAnsi="Tahoma" w:cs="Tahoma"/>
          <w:strike/>
          <w:szCs w:val="24"/>
        </w:rPr>
        <w:t>, zwanej dalej „organizacją pozarządową”</w:t>
      </w:r>
      <w:r>
        <w:rPr>
          <w:rFonts w:ascii="Tahoma" w:hAnsi="Tahoma" w:cs="Tahoma"/>
          <w:szCs w:val="24"/>
        </w:rPr>
        <w:t xml:space="preserve">. Jeżeli na powiat przypada nie więcej niż trzy punkty nieodpłatnej pomocy prawnej, </w:t>
      </w:r>
      <w:r>
        <w:rPr>
          <w:rFonts w:ascii="Tahoma" w:hAnsi="Tahoma" w:cs="Tahoma"/>
          <w:b/>
          <w:szCs w:val="24"/>
        </w:rPr>
        <w:t>Organizacji</w:t>
      </w:r>
      <w:r>
        <w:rPr>
          <w:rFonts w:ascii="Tahoma" w:hAnsi="Tahoma" w:cs="Tahoma"/>
          <w:szCs w:val="24"/>
        </w:rPr>
        <w:t xml:space="preserve"> </w:t>
      </w:r>
      <w:r>
        <w:rPr>
          <w:rFonts w:ascii="Tahoma" w:hAnsi="Tahoma" w:cs="Tahoma"/>
          <w:strike/>
          <w:szCs w:val="24"/>
        </w:rPr>
        <w:t>pozarządowej</w:t>
      </w:r>
      <w:r>
        <w:rPr>
          <w:rFonts w:ascii="Tahoma" w:hAnsi="Tahoma" w:cs="Tahoma"/>
          <w:szCs w:val="24"/>
        </w:rPr>
        <w:t xml:space="preserve"> powierza się prowadzenie jednego punktu nieodpłatnej pomocy prawnej. W pozostałych przypadkach, jeżeli iloraz liczby punktów nieodpłatnej pomocy prawnej i liczby dwa stanowi liczbę niecałkowitą, zaokrągla się ją w górę do liczby całkowitej.”</w:t>
      </w:r>
    </w:p>
    <w:p w:rsidR="00EA1967" w:rsidRDefault="00EA1967">
      <w:pPr>
        <w:jc w:val="both"/>
        <w:rPr>
          <w:rFonts w:ascii="Tahoma" w:hAnsi="Tahoma" w:cs="Tahoma"/>
        </w:rPr>
      </w:pPr>
    </w:p>
    <w:p w:rsidR="00EA1967" w:rsidRDefault="009E09D3">
      <w:pPr>
        <w:jc w:val="both"/>
        <w:rPr>
          <w:rFonts w:ascii="Tahoma" w:hAnsi="Tahoma" w:cs="Tahoma"/>
        </w:rPr>
      </w:pPr>
      <w:r>
        <w:rPr>
          <w:rFonts w:ascii="Tahoma" w:hAnsi="Tahoma" w:cs="Tahoma"/>
        </w:rPr>
        <w:t>W konsekwencji do wyżej wprowadzonej definicji pojęcia „Organizacja” konieczne jest każdorazowe zastąpienie pojęcia „organizacja pozarządowa” określeniem „Organizacja”, tj. w art. 11. ust. 3, 6, 7, 8, 9, 10, 11, 12, art. 20, art. 26 ust. 4.</w:t>
      </w:r>
    </w:p>
    <w:p w:rsidR="00EA1967" w:rsidRDefault="00EA1967">
      <w:pPr>
        <w:jc w:val="both"/>
        <w:rPr>
          <w:rFonts w:ascii="Tahoma" w:hAnsi="Tahoma" w:cs="Tahoma"/>
        </w:rPr>
      </w:pPr>
    </w:p>
    <w:p w:rsidR="00EA1967" w:rsidRDefault="009E09D3">
      <w:pPr>
        <w:jc w:val="both"/>
        <w:rPr>
          <w:rFonts w:ascii="Tahoma" w:hAnsi="Tahoma" w:cs="Tahoma"/>
        </w:rPr>
      </w:pPr>
      <w:r>
        <w:rPr>
          <w:rFonts w:ascii="Tahoma" w:hAnsi="Tahoma" w:cs="Tahoma"/>
        </w:rPr>
        <w:t>Art. 11. ust. 2 należy przeformułować w następujący sposób:</w:t>
      </w:r>
    </w:p>
    <w:p w:rsidR="00EA1967" w:rsidRDefault="009E09D3">
      <w:pPr>
        <w:jc w:val="both"/>
        <w:rPr>
          <w:rFonts w:ascii="Tahoma" w:hAnsi="Tahoma" w:cs="Tahoma"/>
        </w:rPr>
      </w:pPr>
      <w:r>
        <w:rPr>
          <w:rFonts w:ascii="Tahoma" w:hAnsi="Tahoma" w:cs="Tahoma"/>
        </w:rPr>
        <w:t xml:space="preserve">„2. Organizację </w:t>
      </w:r>
      <w:r>
        <w:rPr>
          <w:rFonts w:ascii="Tahoma" w:hAnsi="Tahoma" w:cs="Tahoma"/>
          <w:strike/>
        </w:rPr>
        <w:t>pozarządową</w:t>
      </w:r>
      <w:r>
        <w:rPr>
          <w:rFonts w:ascii="Tahoma" w:hAnsi="Tahoma" w:cs="Tahoma"/>
        </w:rPr>
        <w:t xml:space="preserve"> wyłania się corocznie w otwartym konkursie ofert, </w:t>
      </w:r>
      <w:r>
        <w:rPr>
          <w:rFonts w:ascii="Tahoma" w:hAnsi="Tahoma" w:cs="Tahoma"/>
          <w:b/>
        </w:rPr>
        <w:t xml:space="preserve">stosując odpowiednio przepisy dotyczące postępowań konkursowych zawarte </w:t>
      </w:r>
      <w:r>
        <w:rPr>
          <w:rFonts w:ascii="Tahoma" w:hAnsi="Tahoma" w:cs="Tahoma"/>
          <w:strike/>
        </w:rPr>
        <w:t>o którym mowa</w:t>
      </w:r>
      <w:r>
        <w:rPr>
          <w:rFonts w:ascii="Tahoma" w:hAnsi="Tahoma" w:cs="Tahoma"/>
        </w:rPr>
        <w:t xml:space="preserve"> w ustawie z dnia 24 kwietnia 2003 r. o działalności pożytku publicznego i o wolontariacie (Dz. U. z 2014 r. poz. 1118, z późn. zm.2)).”</w:t>
      </w:r>
    </w:p>
    <w:p w:rsidR="00EA1967" w:rsidRDefault="00EA1967">
      <w:pPr>
        <w:jc w:val="both"/>
        <w:rPr>
          <w:rFonts w:ascii="Tahoma" w:hAnsi="Tahoma" w:cs="Tahoma"/>
        </w:rPr>
      </w:pPr>
    </w:p>
    <w:p w:rsidR="00EA1967" w:rsidRDefault="009E09D3">
      <w:pPr>
        <w:jc w:val="both"/>
        <w:rPr>
          <w:rFonts w:ascii="Tahoma" w:hAnsi="Tahoma" w:cs="Tahoma"/>
        </w:rPr>
      </w:pPr>
      <w:r>
        <w:rPr>
          <w:rFonts w:ascii="Tahoma" w:hAnsi="Tahoma" w:cs="Tahoma"/>
        </w:rPr>
        <w:t xml:space="preserve">W art. 11. ust. 3. do katalogu udzielających porad należałoby dopisać nowy pkt 3) </w:t>
      </w:r>
      <w:r>
        <w:rPr>
          <w:rFonts w:ascii="Tahoma" w:hAnsi="Tahoma" w:cs="Tahoma"/>
        </w:rPr>
        <w:br/>
        <w:t>w brzmieniu:</w:t>
      </w:r>
    </w:p>
    <w:p w:rsidR="00EA1967" w:rsidRDefault="009E09D3">
      <w:pPr>
        <w:jc w:val="both"/>
        <w:rPr>
          <w:rFonts w:ascii="Tahoma" w:hAnsi="Tahoma" w:cs="Tahoma"/>
          <w:b/>
        </w:rPr>
      </w:pPr>
      <w:r>
        <w:rPr>
          <w:rFonts w:ascii="Tahoma" w:hAnsi="Tahoma" w:cs="Tahoma"/>
          <w:b/>
        </w:rPr>
        <w:t>„3) student co najmniej 3 roku, na kierunku prawo uczelni wyższej, działający nad nadzorem i opieką merytoryczną pracownika naukowego danej uczelni lub adwokata lub radcy prawnego.”</w:t>
      </w:r>
    </w:p>
    <w:p w:rsidR="00EA1967" w:rsidRDefault="00EA1967">
      <w:pPr>
        <w:rPr>
          <w:rFonts w:ascii="Tahoma" w:hAnsi="Tahoma" w:cs="Tahoma"/>
        </w:rPr>
      </w:pPr>
    </w:p>
    <w:p w:rsidR="00EA1967" w:rsidRDefault="009E09D3">
      <w:pPr>
        <w:rPr>
          <w:rFonts w:ascii="Tahoma" w:hAnsi="Tahoma" w:cs="Tahoma"/>
        </w:rPr>
      </w:pPr>
      <w:r>
        <w:rPr>
          <w:rFonts w:ascii="Tahoma" w:hAnsi="Tahoma" w:cs="Tahoma"/>
        </w:rPr>
        <w:t>Art. 11 ust. 6 należy przeformułować w następujący sposób:</w:t>
      </w:r>
    </w:p>
    <w:p w:rsidR="00EA1967" w:rsidRDefault="009E09D3">
      <w:pPr>
        <w:jc w:val="both"/>
        <w:rPr>
          <w:rFonts w:ascii="Tahoma" w:hAnsi="Tahoma" w:cs="Tahoma"/>
        </w:rPr>
      </w:pPr>
      <w:r>
        <w:rPr>
          <w:rFonts w:ascii="Tahoma" w:hAnsi="Tahoma" w:cs="Tahoma"/>
        </w:rPr>
        <w:t xml:space="preserve">„6. O powierzenie prowadzenia punktu nieodpłatnej pomocy prawnej może ubiegać się </w:t>
      </w:r>
      <w:r>
        <w:rPr>
          <w:rFonts w:ascii="Tahoma" w:hAnsi="Tahoma" w:cs="Tahoma"/>
          <w:b/>
        </w:rPr>
        <w:t>Organizacja,</w:t>
      </w:r>
      <w:r>
        <w:rPr>
          <w:rFonts w:ascii="Tahoma" w:hAnsi="Tahoma" w:cs="Tahoma"/>
          <w:color w:val="312F36"/>
        </w:rPr>
        <w:t xml:space="preserve"> </w:t>
      </w:r>
      <w:r>
        <w:rPr>
          <w:rFonts w:ascii="Tahoma" w:hAnsi="Tahoma" w:cs="Tahoma"/>
          <w:b/>
        </w:rPr>
        <w:t xml:space="preserve">o której mowa w ust. 1 </w:t>
      </w:r>
      <w:r>
        <w:rPr>
          <w:rFonts w:ascii="Tahoma" w:hAnsi="Tahoma" w:cs="Tahoma"/>
          <w:strike/>
        </w:rPr>
        <w:t>pozarządowa w zakresie, o którym mowa w art. 4 ust. 1 pkt 1b ustawy z dnia 24 kwietnia 2003 r. o działalności pożytku publicznego i o wolontariacie</w:t>
      </w:r>
      <w:r>
        <w:rPr>
          <w:rFonts w:ascii="Tahoma" w:hAnsi="Tahoma" w:cs="Tahoma"/>
        </w:rPr>
        <w:t>, która spełnia łącznie następujące warunki:[…]”</w:t>
      </w:r>
    </w:p>
    <w:p w:rsidR="00EA1967" w:rsidRDefault="00EA1967">
      <w:pPr>
        <w:jc w:val="both"/>
        <w:rPr>
          <w:rFonts w:ascii="Tahoma" w:hAnsi="Tahoma" w:cs="Tahoma"/>
        </w:rPr>
      </w:pPr>
    </w:p>
    <w:p w:rsidR="00EA1967" w:rsidRDefault="00EA1967"/>
    <w:sectPr w:rsidR="00EA1967">
      <w:footerReference w:type="default" r:id="rId8"/>
      <w:pgSz w:w="11906" w:h="16838"/>
      <w:pgMar w:top="1417" w:right="1417" w:bottom="1417" w:left="1417" w:header="0"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33C" w:rsidRDefault="0010433C">
      <w:r>
        <w:separator/>
      </w:r>
    </w:p>
  </w:endnote>
  <w:endnote w:type="continuationSeparator" w:id="0">
    <w:p w:rsidR="0010433C" w:rsidRDefault="0010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67" w:rsidRDefault="009E09D3">
    <w:pPr>
      <w:pStyle w:val="Stopka"/>
      <w:jc w:val="right"/>
    </w:pPr>
    <w:r>
      <w:fldChar w:fldCharType="begin"/>
    </w:r>
    <w:r>
      <w:instrText>PAGE</w:instrText>
    </w:r>
    <w:r>
      <w:fldChar w:fldCharType="separate"/>
    </w:r>
    <w:r w:rsidR="00071C95">
      <w:rPr>
        <w:noProof/>
      </w:rPr>
      <w:t>2</w:t>
    </w:r>
    <w:r>
      <w:fldChar w:fldCharType="end"/>
    </w:r>
  </w:p>
  <w:p w:rsidR="00EA1967" w:rsidRDefault="00EA19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33C" w:rsidRDefault="0010433C">
      <w:r>
        <w:separator/>
      </w:r>
    </w:p>
  </w:footnote>
  <w:footnote w:type="continuationSeparator" w:id="0">
    <w:p w:rsidR="0010433C" w:rsidRDefault="0010433C">
      <w:r>
        <w:continuationSeparator/>
      </w:r>
    </w:p>
  </w:footnote>
  <w:footnote w:id="1">
    <w:p w:rsidR="00EA1967" w:rsidRPr="00120087" w:rsidRDefault="009E09D3" w:rsidP="00120087">
      <w:pPr>
        <w:pStyle w:val="Przypisdolny"/>
        <w:ind w:left="284" w:hanging="284"/>
        <w:jc w:val="both"/>
        <w:rPr>
          <w:rFonts w:ascii="Tahoma" w:hAnsi="Tahoma" w:cs="Tahoma"/>
          <w:sz w:val="18"/>
          <w:szCs w:val="18"/>
        </w:rPr>
      </w:pPr>
      <w:r w:rsidRPr="00120087">
        <w:rPr>
          <w:rStyle w:val="Znakiprzypiswdolnych"/>
          <w:rFonts w:ascii="Tahoma" w:hAnsi="Tahoma" w:cs="Tahoma"/>
          <w:sz w:val="18"/>
          <w:szCs w:val="18"/>
        </w:rPr>
        <w:footnoteRef/>
      </w:r>
      <w:r w:rsidRPr="00120087">
        <w:rPr>
          <w:rStyle w:val="Znakiprzypiswdolnych"/>
          <w:rFonts w:ascii="Tahoma" w:hAnsi="Tahoma" w:cs="Tahoma"/>
          <w:sz w:val="18"/>
          <w:szCs w:val="18"/>
        </w:rPr>
        <w:tab/>
      </w:r>
      <w:r w:rsidRPr="00120087">
        <w:rPr>
          <w:rFonts w:ascii="Tahoma" w:hAnsi="Tahoma" w:cs="Tahoma"/>
          <w:sz w:val="18"/>
          <w:szCs w:val="18"/>
        </w:rPr>
        <w:t>Ustawa z 13.6.2003 r. o udzielaniu cudzoziemcom ochrony na terytorium Rzeczpospolitej Polskiej (tekst jedn. Dz.U. z 2012 r. poz. 680 ze zm.).</w:t>
      </w:r>
    </w:p>
  </w:footnote>
  <w:footnote w:id="2">
    <w:p w:rsidR="00EA1967" w:rsidRPr="00120087" w:rsidRDefault="009E09D3" w:rsidP="00120087">
      <w:pPr>
        <w:pStyle w:val="Przypisdolny"/>
        <w:ind w:left="284" w:hanging="284"/>
        <w:jc w:val="both"/>
        <w:rPr>
          <w:rFonts w:ascii="Tahoma" w:hAnsi="Tahoma" w:cs="Tahoma"/>
          <w:sz w:val="18"/>
          <w:szCs w:val="18"/>
        </w:rPr>
      </w:pPr>
      <w:r w:rsidRPr="00120087">
        <w:rPr>
          <w:rStyle w:val="Znakiprzypiswdolnych"/>
          <w:rFonts w:ascii="Tahoma" w:hAnsi="Tahoma" w:cs="Tahoma"/>
          <w:sz w:val="18"/>
          <w:szCs w:val="18"/>
        </w:rPr>
        <w:footnoteRef/>
      </w:r>
      <w:r w:rsidRPr="00120087">
        <w:rPr>
          <w:rStyle w:val="Znakiprzypiswdolnych"/>
          <w:rFonts w:ascii="Tahoma" w:hAnsi="Tahoma" w:cs="Tahoma"/>
          <w:sz w:val="18"/>
          <w:szCs w:val="18"/>
        </w:rPr>
        <w:tab/>
      </w:r>
      <w:r w:rsidRPr="00120087">
        <w:rPr>
          <w:rFonts w:ascii="Tahoma" w:hAnsi="Tahoma" w:cs="Tahoma"/>
          <w:sz w:val="18"/>
          <w:szCs w:val="18"/>
        </w:rPr>
        <w:t>Ustawa z 13.6.2003 r. o cudzoziemcach (tekst jedn. Dz.U. z 2013 r. poz. 1650 ze zm.).</w:t>
      </w:r>
    </w:p>
  </w:footnote>
  <w:footnote w:id="3">
    <w:p w:rsidR="00EA1967" w:rsidRPr="00120087" w:rsidRDefault="009E09D3" w:rsidP="00120087">
      <w:pPr>
        <w:pStyle w:val="Przypisdolny"/>
        <w:ind w:left="284" w:hanging="284"/>
        <w:jc w:val="both"/>
        <w:rPr>
          <w:rFonts w:ascii="Tahoma" w:hAnsi="Tahoma" w:cs="Tahoma"/>
          <w:sz w:val="18"/>
          <w:szCs w:val="18"/>
        </w:rPr>
      </w:pPr>
      <w:r w:rsidRPr="00120087">
        <w:rPr>
          <w:rStyle w:val="Odwoanieprzypisudolnego"/>
          <w:rFonts w:ascii="Tahoma" w:hAnsi="Tahoma" w:cs="Tahoma"/>
          <w:sz w:val="18"/>
          <w:szCs w:val="18"/>
        </w:rPr>
        <w:footnoteRef/>
      </w:r>
      <w:r w:rsidRPr="00120087">
        <w:rPr>
          <w:rStyle w:val="Odwoanieprzypisudolnego"/>
          <w:rFonts w:ascii="Tahoma" w:hAnsi="Tahoma" w:cs="Tahoma"/>
          <w:sz w:val="18"/>
          <w:szCs w:val="18"/>
        </w:rPr>
        <w:tab/>
      </w:r>
      <w:r w:rsidRPr="00120087">
        <w:rPr>
          <w:rFonts w:ascii="Tahoma" w:hAnsi="Tahoma" w:cs="Tahoma"/>
          <w:sz w:val="18"/>
          <w:szCs w:val="18"/>
        </w:rPr>
        <w:t>Jak podaje dr P. Kurowski w opublikowanym przez Instytut Pracy i Spraw Socjalnych raporcie „Minimum socjalne w układzie przestrzennym. Komentarz do danych za 2014 r.” z grudnia 2015 r. „w małych miejscowościach koszty centralnego ogrzewania czy podgrzania wody są dużo wyższe, a w dużych miastach znacząco niższe, co wskazywałoby na zjawisko efektów skali”, zaś „ten sam zestaw żywnościowy jest znacznie tańszy w mniejszych miejscowościach”.</w:t>
      </w:r>
    </w:p>
  </w:footnote>
  <w:footnote w:id="4">
    <w:p w:rsidR="00FA7705" w:rsidRPr="00120087" w:rsidRDefault="00FA7705" w:rsidP="00120087">
      <w:pPr>
        <w:pStyle w:val="Przypisdolny"/>
        <w:ind w:left="284" w:hanging="284"/>
        <w:jc w:val="both"/>
        <w:rPr>
          <w:rFonts w:ascii="Tahoma" w:hAnsi="Tahoma" w:cs="Tahoma"/>
          <w:sz w:val="18"/>
          <w:szCs w:val="18"/>
        </w:rPr>
      </w:pPr>
      <w:r w:rsidRPr="00120087">
        <w:rPr>
          <w:rStyle w:val="Odwoanieprzypisudolnego"/>
          <w:rFonts w:ascii="Tahoma" w:hAnsi="Tahoma" w:cs="Tahoma"/>
          <w:sz w:val="18"/>
          <w:szCs w:val="18"/>
        </w:rPr>
        <w:footnoteRef/>
      </w:r>
      <w:r w:rsidRPr="00120087">
        <w:rPr>
          <w:rStyle w:val="Odwoanieprzypisudolnego"/>
          <w:rFonts w:ascii="Tahoma" w:hAnsi="Tahoma" w:cs="Tahoma"/>
          <w:sz w:val="18"/>
          <w:szCs w:val="18"/>
        </w:rPr>
        <w:tab/>
      </w:r>
      <w:r w:rsidRPr="00120087">
        <w:rPr>
          <w:rFonts w:ascii="Tahoma" w:hAnsi="Tahoma" w:cs="Tahoma"/>
          <w:sz w:val="18"/>
          <w:szCs w:val="18"/>
        </w:rPr>
        <w:t xml:space="preserve">Art. 233 KK. </w:t>
      </w:r>
    </w:p>
  </w:footnote>
  <w:footnote w:id="5">
    <w:p w:rsidR="00FA7705" w:rsidRPr="00120087" w:rsidRDefault="00FA7705" w:rsidP="00120087">
      <w:pPr>
        <w:pStyle w:val="Przypisdolny"/>
        <w:ind w:left="284" w:hanging="284"/>
        <w:jc w:val="both"/>
        <w:rPr>
          <w:rFonts w:ascii="Tahoma" w:hAnsi="Tahoma" w:cs="Tahoma"/>
          <w:sz w:val="18"/>
          <w:szCs w:val="18"/>
        </w:rPr>
      </w:pPr>
      <w:r w:rsidRPr="00120087">
        <w:rPr>
          <w:rStyle w:val="Odwoanieprzypisudolnego"/>
          <w:rFonts w:ascii="Tahoma" w:hAnsi="Tahoma" w:cs="Tahoma"/>
          <w:sz w:val="18"/>
          <w:szCs w:val="18"/>
        </w:rPr>
        <w:footnoteRef/>
      </w:r>
      <w:r w:rsidRPr="00120087">
        <w:rPr>
          <w:rStyle w:val="Odwoanieprzypisudolnego"/>
          <w:rFonts w:ascii="Tahoma" w:hAnsi="Tahoma" w:cs="Tahoma"/>
          <w:sz w:val="18"/>
          <w:szCs w:val="18"/>
        </w:rPr>
        <w:tab/>
      </w:r>
      <w:r w:rsidRPr="00120087">
        <w:rPr>
          <w:rFonts w:ascii="Tahoma" w:hAnsi="Tahoma" w:cs="Tahoma"/>
          <w:sz w:val="18"/>
          <w:szCs w:val="18"/>
        </w:rPr>
        <w:t>Analogicznie do zapisów art. 30 ustawy z 28.11.2003 r. o świadczeniach rodzi</w:t>
      </w:r>
      <w:r w:rsidR="00120087">
        <w:rPr>
          <w:rFonts w:ascii="Tahoma" w:hAnsi="Tahoma" w:cs="Tahoma"/>
          <w:sz w:val="18"/>
          <w:szCs w:val="18"/>
        </w:rPr>
        <w:t>nnych (tekst jedn. Dz.U. z 2015</w:t>
      </w:r>
      <w:r w:rsidRPr="00120087">
        <w:rPr>
          <w:rFonts w:ascii="Tahoma" w:hAnsi="Tahoma" w:cs="Tahoma"/>
          <w:sz w:val="18"/>
          <w:szCs w:val="18"/>
        </w:rPr>
        <w:t>r. poz. 114 ze zm.).</w:t>
      </w:r>
    </w:p>
  </w:footnote>
  <w:footnote w:id="6">
    <w:p w:rsidR="00EA1967" w:rsidRPr="00120087" w:rsidRDefault="009E09D3" w:rsidP="00120087">
      <w:pPr>
        <w:pStyle w:val="Przypisdolny"/>
        <w:ind w:left="284" w:hanging="284"/>
        <w:jc w:val="both"/>
        <w:rPr>
          <w:rFonts w:ascii="Tahoma" w:hAnsi="Tahoma" w:cs="Tahoma"/>
          <w:color w:val="000000"/>
          <w:sz w:val="18"/>
          <w:szCs w:val="18"/>
        </w:rPr>
      </w:pPr>
      <w:r w:rsidRPr="00120087">
        <w:rPr>
          <w:rStyle w:val="Odwoanieprzypisudolnego"/>
          <w:rFonts w:ascii="Tahoma" w:hAnsi="Tahoma" w:cs="Tahoma"/>
          <w:sz w:val="18"/>
          <w:szCs w:val="18"/>
        </w:rPr>
        <w:footnoteRef/>
      </w:r>
      <w:r w:rsidRPr="00120087">
        <w:rPr>
          <w:rStyle w:val="Odwoanieprzypisudolnego"/>
          <w:rFonts w:ascii="Tahoma" w:hAnsi="Tahoma" w:cs="Tahoma"/>
          <w:sz w:val="18"/>
          <w:szCs w:val="18"/>
        </w:rPr>
        <w:tab/>
      </w:r>
      <w:r w:rsidRPr="00120087">
        <w:rPr>
          <w:rFonts w:ascii="Tahoma" w:hAnsi="Tahoma" w:cs="Tahoma"/>
          <w:color w:val="000000"/>
          <w:sz w:val="18"/>
          <w:szCs w:val="18"/>
        </w:rPr>
        <w:t>Artykuł 3 ust. 2 ustawy z 5.8.2015 r. o nieodpłatnej pomocy prawnej oraz edukacji prawnej (Dz.U. z 2015 r. poz. 1255).</w:t>
      </w:r>
    </w:p>
  </w:footnote>
  <w:footnote w:id="7">
    <w:p w:rsidR="00EA1967" w:rsidRPr="00120087" w:rsidRDefault="009E09D3" w:rsidP="00120087">
      <w:pPr>
        <w:pStyle w:val="Przypisdolny"/>
        <w:ind w:left="284" w:hanging="284"/>
        <w:jc w:val="both"/>
        <w:rPr>
          <w:rFonts w:ascii="Tahoma" w:hAnsi="Tahoma" w:cs="Tahoma"/>
          <w:sz w:val="18"/>
          <w:szCs w:val="18"/>
        </w:rPr>
      </w:pPr>
      <w:r w:rsidRPr="00120087">
        <w:rPr>
          <w:rStyle w:val="Odwoanieprzypisudolnego"/>
          <w:rFonts w:ascii="Tahoma" w:hAnsi="Tahoma" w:cs="Tahoma"/>
          <w:sz w:val="18"/>
          <w:szCs w:val="18"/>
        </w:rPr>
        <w:footnoteRef/>
      </w:r>
      <w:r w:rsidRPr="00120087">
        <w:rPr>
          <w:rStyle w:val="Odwoanieprzypisudolnego"/>
          <w:rFonts w:ascii="Tahoma" w:hAnsi="Tahoma" w:cs="Tahoma"/>
          <w:sz w:val="18"/>
          <w:szCs w:val="18"/>
        </w:rPr>
        <w:tab/>
      </w:r>
      <w:r w:rsidRPr="00120087">
        <w:rPr>
          <w:rFonts w:ascii="Tahoma" w:hAnsi="Tahoma" w:cs="Tahoma"/>
          <w:sz w:val="18"/>
          <w:szCs w:val="18"/>
        </w:rPr>
        <w:t>Dyrektywa Rady 77/388/EWG z 17.5.1977 r. w sprawie harmonizacji ustawodawstw Państw Członkowskich w odniesieniu do podatków obrotowych – wspólny system podatku od wartości dodanej: ujednolicona podstawa wymiaru podatku (Dz.Urz. UE L Nr 145,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327E6"/>
    <w:multiLevelType w:val="multilevel"/>
    <w:tmpl w:val="B7248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66201E"/>
    <w:multiLevelType w:val="multilevel"/>
    <w:tmpl w:val="B24A2F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9963B22"/>
    <w:multiLevelType w:val="multilevel"/>
    <w:tmpl w:val="708AFB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67"/>
    <w:rsid w:val="00071C95"/>
    <w:rsid w:val="0010433C"/>
    <w:rsid w:val="00120087"/>
    <w:rsid w:val="00231F47"/>
    <w:rsid w:val="009E09D3"/>
    <w:rsid w:val="00A006E2"/>
    <w:rsid w:val="00EA1967"/>
    <w:rsid w:val="00FA77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70C8"/>
    <w:pPr>
      <w:suppressAutoHyphens/>
      <w:spacing w:line="240" w:lineRule="auto"/>
    </w:pPr>
    <w:rPr>
      <w:rFonts w:ascii="Times New Roman" w:eastAsia="Times New Roman" w:hAnsi="Times New Roman" w:cs="Times New Roman"/>
      <w:color w:val="00000A"/>
      <w:sz w:val="24"/>
      <w:szCs w:val="24"/>
      <w:lang w:eastAsia="pl-PL"/>
    </w:rPr>
  </w:style>
  <w:style w:type="paragraph" w:styleId="Nagwek1">
    <w:name w:val="heading 1"/>
    <w:basedOn w:val="Normalny"/>
    <w:link w:val="Nagwek1Znak"/>
    <w:uiPriority w:val="99"/>
    <w:qFormat/>
    <w:rsid w:val="00081604"/>
    <w:pPr>
      <w:keepNext/>
      <w:keepLines/>
      <w:spacing w:before="240" w:line="276" w:lineRule="auto"/>
      <w:outlineLvl w:val="0"/>
    </w:pPr>
    <w:rPr>
      <w:rFonts w:ascii="Cambria" w:hAnsi="Cambria"/>
      <w:color w:val="365F91"/>
      <w:sz w:val="32"/>
      <w:szCs w:val="3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EE70C8"/>
    <w:rPr>
      <w:color w:val="0000FF"/>
      <w:u w:val="single"/>
    </w:rPr>
  </w:style>
  <w:style w:type="character" w:customStyle="1" w:styleId="ARTartustawynprozporzdzeniaZnak">
    <w:name w:val="ART(§) – art. ustawy (§ np. rozporządzenia) Znak"/>
    <w:link w:val="ARTartustawynprozporzdzenia"/>
    <w:locked/>
    <w:rsid w:val="00EE70C8"/>
    <w:rPr>
      <w:rFonts w:ascii="Times" w:eastAsia="Times New Roman" w:hAnsi="Times" w:cs="Arial"/>
      <w:sz w:val="24"/>
      <w:szCs w:val="20"/>
      <w:lang w:eastAsia="pl-PL"/>
    </w:rPr>
  </w:style>
  <w:style w:type="character" w:customStyle="1" w:styleId="TekstprzypisudolnegoZnak">
    <w:name w:val="Tekst przypisu dolnego Znak"/>
    <w:basedOn w:val="Domylnaczcionkaakapitu"/>
    <w:link w:val="Tekstprzypisudolnego"/>
    <w:uiPriority w:val="99"/>
    <w:rsid w:val="008A1CE1"/>
    <w:rPr>
      <w:rFonts w:ascii="Calibri" w:eastAsia="Times New Roman" w:hAnsi="Calibri" w:cs="Times New Roman"/>
      <w:sz w:val="20"/>
      <w:szCs w:val="20"/>
    </w:rPr>
  </w:style>
  <w:style w:type="character" w:customStyle="1" w:styleId="Znakiprzypiswdolnych">
    <w:name w:val="Znaki przypisów dolnych"/>
    <w:basedOn w:val="Domylnaczcionkaakapitu"/>
    <w:uiPriority w:val="99"/>
    <w:rsid w:val="008A1CE1"/>
    <w:rPr>
      <w:rFonts w:cs="Times New Roman"/>
      <w:vertAlign w:val="superscript"/>
    </w:rPr>
  </w:style>
  <w:style w:type="character" w:customStyle="1" w:styleId="Odwoanieprzypisudolnego3">
    <w:name w:val="Odwołanie przypisu dolnego3"/>
    <w:uiPriority w:val="99"/>
    <w:rsid w:val="008A1CE1"/>
    <w:rPr>
      <w:vertAlign w:val="superscript"/>
    </w:rPr>
  </w:style>
  <w:style w:type="character" w:styleId="Odwoanieprzypisudolnego">
    <w:name w:val="footnote reference"/>
    <w:basedOn w:val="Domylnaczcionkaakapitu"/>
    <w:uiPriority w:val="99"/>
    <w:rsid w:val="00B864DF"/>
    <w:rPr>
      <w:rFonts w:cs="Times New Roman"/>
      <w:vertAlign w:val="superscript"/>
    </w:rPr>
  </w:style>
  <w:style w:type="character" w:customStyle="1" w:styleId="Nagwek1Znak">
    <w:name w:val="Nagłówek 1 Znak"/>
    <w:basedOn w:val="Domylnaczcionkaakapitu"/>
    <w:link w:val="Nagwek1"/>
    <w:uiPriority w:val="99"/>
    <w:rsid w:val="00081604"/>
    <w:rPr>
      <w:rFonts w:ascii="Cambria" w:eastAsia="Times New Roman" w:hAnsi="Cambria" w:cs="Times New Roman"/>
      <w:color w:val="365F91"/>
      <w:sz w:val="32"/>
      <w:szCs w:val="32"/>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color w:val="00000A"/>
      <w:sz w:val="20"/>
      <w:szCs w:val="20"/>
      <w:lang w:eastAsia="pl-PL"/>
    </w:rPr>
  </w:style>
  <w:style w:type="character" w:styleId="Odwoaniedokomentarza">
    <w:name w:val="annotation reference"/>
    <w:basedOn w:val="Domylnaczcionkaakapitu"/>
    <w:uiPriority w:val="99"/>
    <w:semiHidden/>
    <w:unhideWhenUsed/>
    <w:rPr>
      <w:sz w:val="16"/>
      <w:szCs w:val="16"/>
    </w:rPr>
  </w:style>
  <w:style w:type="character" w:customStyle="1" w:styleId="TekstdymkaZnak">
    <w:name w:val="Tekst dymka Znak"/>
    <w:basedOn w:val="Domylnaczcionkaakapitu"/>
    <w:link w:val="Tekstdymka"/>
    <w:uiPriority w:val="99"/>
    <w:semiHidden/>
    <w:rsid w:val="00AE77FF"/>
    <w:rPr>
      <w:rFonts w:ascii="Tahoma" w:eastAsia="Times New Roman" w:hAnsi="Tahoma" w:cs="Tahoma"/>
      <w:color w:val="00000A"/>
      <w:sz w:val="16"/>
      <w:szCs w:val="16"/>
      <w:lang w:eastAsia="pl-PL"/>
    </w:rPr>
  </w:style>
  <w:style w:type="character" w:customStyle="1" w:styleId="TematkomentarzaZnak">
    <w:name w:val="Temat komentarza Znak"/>
    <w:basedOn w:val="TekstkomentarzaZnak"/>
    <w:link w:val="Tematkomentarza"/>
    <w:uiPriority w:val="99"/>
    <w:semiHidden/>
    <w:rsid w:val="00AC3B3F"/>
    <w:rPr>
      <w:rFonts w:ascii="Times New Roman" w:eastAsia="Times New Roman" w:hAnsi="Times New Roman" w:cs="Times New Roman"/>
      <w:b/>
      <w:bCs/>
      <w:color w:val="00000A"/>
      <w:sz w:val="20"/>
      <w:szCs w:val="20"/>
      <w:lang w:eastAsia="pl-PL"/>
    </w:rPr>
  </w:style>
  <w:style w:type="character" w:customStyle="1" w:styleId="StopkaZnak">
    <w:name w:val="Stopka Znak"/>
    <w:basedOn w:val="Domylnaczcionkaakapitu"/>
    <w:link w:val="Stopka"/>
    <w:uiPriority w:val="99"/>
    <w:rsid w:val="00D42AD9"/>
    <w:rPr>
      <w:rFonts w:ascii="Times New Roman" w:eastAsia="Times New Roman" w:hAnsi="Times New Roman" w:cs="Times New Roman"/>
      <w:color w:val="00000A"/>
      <w:sz w:val="24"/>
      <w:szCs w:val="24"/>
      <w:lang w:eastAsia="pl-PL"/>
    </w:rPr>
  </w:style>
  <w:style w:type="paragraph" w:styleId="Nagwek">
    <w:name w:val="header"/>
    <w:basedOn w:val="Normalny"/>
    <w:next w:val="Tretekstu"/>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FreeSans"/>
    </w:rPr>
  </w:style>
  <w:style w:type="paragraph" w:styleId="Podpis">
    <w:name w:val="Signature"/>
    <w:basedOn w:val="Normalny"/>
    <w:pPr>
      <w:suppressLineNumbers/>
      <w:spacing w:before="120" w:after="120"/>
    </w:pPr>
    <w:rPr>
      <w:rFonts w:cs="FreeSans"/>
      <w:i/>
      <w:iCs/>
    </w:rPr>
  </w:style>
  <w:style w:type="paragraph" w:customStyle="1" w:styleId="Indeks">
    <w:name w:val="Indeks"/>
    <w:basedOn w:val="Normalny"/>
    <w:pPr>
      <w:suppressLineNumbers/>
    </w:pPr>
    <w:rPr>
      <w:rFonts w:cs="FreeSans"/>
    </w:rPr>
  </w:style>
  <w:style w:type="paragraph" w:customStyle="1" w:styleId="Gwka">
    <w:name w:val="Główka"/>
    <w:basedOn w:val="Normalny"/>
    <w:pPr>
      <w:keepNext/>
      <w:spacing w:before="240" w:after="120"/>
    </w:pPr>
    <w:rPr>
      <w:rFonts w:ascii="Liberation Sans" w:eastAsia="Droid Sans Fallback" w:hAnsi="Liberation Sans" w:cs="FreeSans"/>
      <w:sz w:val="28"/>
      <w:szCs w:val="28"/>
    </w:rPr>
  </w:style>
  <w:style w:type="paragraph" w:customStyle="1" w:styleId="Sygnatura">
    <w:name w:val="Sygnatura"/>
    <w:basedOn w:val="Normalny"/>
    <w:pPr>
      <w:suppressLineNumbers/>
      <w:spacing w:before="120" w:after="120"/>
    </w:pPr>
    <w:rPr>
      <w:rFonts w:cs="FreeSans"/>
      <w:i/>
      <w:iCs/>
    </w:rPr>
  </w:style>
  <w:style w:type="paragraph" w:customStyle="1" w:styleId="ARTartustawynprozporzdzenia">
    <w:name w:val="ART(§) – art. ustawy (§ np. rozporządzenia)"/>
    <w:link w:val="ARTartustawynprozporzdzeniaZnak"/>
    <w:rsid w:val="00EE70C8"/>
    <w:pPr>
      <w:suppressAutoHyphens/>
      <w:spacing w:before="120" w:line="360" w:lineRule="auto"/>
      <w:ind w:firstLine="510"/>
      <w:jc w:val="both"/>
    </w:pPr>
    <w:rPr>
      <w:rFonts w:ascii="Times" w:eastAsia="Times New Roman" w:hAnsi="Times" w:cs="Arial"/>
      <w:color w:val="00000A"/>
      <w:sz w:val="24"/>
      <w:szCs w:val="20"/>
      <w:lang w:eastAsia="pl-PL"/>
    </w:rPr>
  </w:style>
  <w:style w:type="paragraph" w:styleId="Akapitzlist">
    <w:name w:val="List Paragraph"/>
    <w:basedOn w:val="Normalny"/>
    <w:uiPriority w:val="34"/>
    <w:qFormat/>
    <w:rsid w:val="008A1CE1"/>
    <w:pPr>
      <w:ind w:left="720"/>
      <w:contextualSpacing/>
    </w:pPr>
  </w:style>
  <w:style w:type="paragraph" w:styleId="Tekstprzypisudolnego">
    <w:name w:val="footnote text"/>
    <w:basedOn w:val="Normalny"/>
    <w:link w:val="TekstprzypisudolnegoZnak"/>
    <w:uiPriority w:val="99"/>
    <w:rsid w:val="008A1CE1"/>
    <w:rPr>
      <w:rFonts w:ascii="Calibri" w:hAnsi="Calibri"/>
      <w:sz w:val="20"/>
      <w:szCs w:val="20"/>
      <w:lang w:eastAsia="en-US"/>
    </w:rPr>
  </w:style>
  <w:style w:type="paragraph" w:customStyle="1" w:styleId="Default">
    <w:name w:val="Default"/>
    <w:uiPriority w:val="99"/>
    <w:rsid w:val="00B864DF"/>
    <w:pPr>
      <w:suppressAutoHyphens/>
      <w:spacing w:line="240" w:lineRule="auto"/>
    </w:pPr>
    <w:rPr>
      <w:rFonts w:ascii="Arial" w:eastAsia="Times New Roman" w:hAnsi="Arial" w:cs="Arial"/>
      <w:color w:val="000000"/>
      <w:sz w:val="24"/>
      <w:szCs w:val="24"/>
    </w:rPr>
  </w:style>
  <w:style w:type="paragraph" w:customStyle="1" w:styleId="Przypisdolny">
    <w:name w:val="Przypis dolny"/>
    <w:basedOn w:val="Normalny"/>
  </w:style>
  <w:style w:type="paragraph" w:styleId="Tekstkomentarza">
    <w:name w:val="annotation text"/>
    <w:basedOn w:val="Normalny"/>
    <w:link w:val="TekstkomentarzaZnak"/>
    <w:uiPriority w:val="99"/>
    <w:semiHidden/>
    <w:unhideWhenUsed/>
    <w:rPr>
      <w:sz w:val="20"/>
      <w:szCs w:val="20"/>
    </w:rPr>
  </w:style>
  <w:style w:type="paragraph" w:styleId="Tekstdymka">
    <w:name w:val="Balloon Text"/>
    <w:basedOn w:val="Normalny"/>
    <w:link w:val="TekstdymkaZnak"/>
    <w:uiPriority w:val="99"/>
    <w:semiHidden/>
    <w:unhideWhenUsed/>
    <w:rsid w:val="00AE77FF"/>
    <w:rPr>
      <w:rFonts w:ascii="Tahoma" w:hAnsi="Tahoma" w:cs="Tahoma"/>
      <w:sz w:val="16"/>
      <w:szCs w:val="16"/>
    </w:rPr>
  </w:style>
  <w:style w:type="paragraph" w:styleId="Tematkomentarza">
    <w:name w:val="annotation subject"/>
    <w:basedOn w:val="Tekstkomentarza"/>
    <w:link w:val="TematkomentarzaZnak"/>
    <w:uiPriority w:val="99"/>
    <w:semiHidden/>
    <w:unhideWhenUsed/>
    <w:rsid w:val="00AC3B3F"/>
    <w:rPr>
      <w:b/>
      <w:bCs/>
    </w:rPr>
  </w:style>
  <w:style w:type="paragraph" w:styleId="Stopka">
    <w:name w:val="footer"/>
    <w:basedOn w:val="Normalny"/>
    <w:link w:val="StopkaZnak"/>
    <w:uiPriority w:val="99"/>
    <w:unhideWhenUsed/>
    <w:rsid w:val="00D42AD9"/>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70C8"/>
    <w:pPr>
      <w:suppressAutoHyphens/>
      <w:spacing w:line="240" w:lineRule="auto"/>
    </w:pPr>
    <w:rPr>
      <w:rFonts w:ascii="Times New Roman" w:eastAsia="Times New Roman" w:hAnsi="Times New Roman" w:cs="Times New Roman"/>
      <w:color w:val="00000A"/>
      <w:sz w:val="24"/>
      <w:szCs w:val="24"/>
      <w:lang w:eastAsia="pl-PL"/>
    </w:rPr>
  </w:style>
  <w:style w:type="paragraph" w:styleId="Nagwek1">
    <w:name w:val="heading 1"/>
    <w:basedOn w:val="Normalny"/>
    <w:link w:val="Nagwek1Znak"/>
    <w:uiPriority w:val="99"/>
    <w:qFormat/>
    <w:rsid w:val="00081604"/>
    <w:pPr>
      <w:keepNext/>
      <w:keepLines/>
      <w:spacing w:before="240" w:line="276" w:lineRule="auto"/>
      <w:outlineLvl w:val="0"/>
    </w:pPr>
    <w:rPr>
      <w:rFonts w:ascii="Cambria" w:hAnsi="Cambria"/>
      <w:color w:val="365F91"/>
      <w:sz w:val="32"/>
      <w:szCs w:val="3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EE70C8"/>
    <w:rPr>
      <w:color w:val="0000FF"/>
      <w:u w:val="single"/>
    </w:rPr>
  </w:style>
  <w:style w:type="character" w:customStyle="1" w:styleId="ARTartustawynprozporzdzeniaZnak">
    <w:name w:val="ART(§) – art. ustawy (§ np. rozporządzenia) Znak"/>
    <w:link w:val="ARTartustawynprozporzdzenia"/>
    <w:locked/>
    <w:rsid w:val="00EE70C8"/>
    <w:rPr>
      <w:rFonts w:ascii="Times" w:eastAsia="Times New Roman" w:hAnsi="Times" w:cs="Arial"/>
      <w:sz w:val="24"/>
      <w:szCs w:val="20"/>
      <w:lang w:eastAsia="pl-PL"/>
    </w:rPr>
  </w:style>
  <w:style w:type="character" w:customStyle="1" w:styleId="TekstprzypisudolnegoZnak">
    <w:name w:val="Tekst przypisu dolnego Znak"/>
    <w:basedOn w:val="Domylnaczcionkaakapitu"/>
    <w:link w:val="Tekstprzypisudolnego"/>
    <w:uiPriority w:val="99"/>
    <w:rsid w:val="008A1CE1"/>
    <w:rPr>
      <w:rFonts w:ascii="Calibri" w:eastAsia="Times New Roman" w:hAnsi="Calibri" w:cs="Times New Roman"/>
      <w:sz w:val="20"/>
      <w:szCs w:val="20"/>
    </w:rPr>
  </w:style>
  <w:style w:type="character" w:customStyle="1" w:styleId="Znakiprzypiswdolnych">
    <w:name w:val="Znaki przypisów dolnych"/>
    <w:basedOn w:val="Domylnaczcionkaakapitu"/>
    <w:uiPriority w:val="99"/>
    <w:rsid w:val="008A1CE1"/>
    <w:rPr>
      <w:rFonts w:cs="Times New Roman"/>
      <w:vertAlign w:val="superscript"/>
    </w:rPr>
  </w:style>
  <w:style w:type="character" w:customStyle="1" w:styleId="Odwoanieprzypisudolnego3">
    <w:name w:val="Odwołanie przypisu dolnego3"/>
    <w:uiPriority w:val="99"/>
    <w:rsid w:val="008A1CE1"/>
    <w:rPr>
      <w:vertAlign w:val="superscript"/>
    </w:rPr>
  </w:style>
  <w:style w:type="character" w:styleId="Odwoanieprzypisudolnego">
    <w:name w:val="footnote reference"/>
    <w:basedOn w:val="Domylnaczcionkaakapitu"/>
    <w:uiPriority w:val="99"/>
    <w:rsid w:val="00B864DF"/>
    <w:rPr>
      <w:rFonts w:cs="Times New Roman"/>
      <w:vertAlign w:val="superscript"/>
    </w:rPr>
  </w:style>
  <w:style w:type="character" w:customStyle="1" w:styleId="Nagwek1Znak">
    <w:name w:val="Nagłówek 1 Znak"/>
    <w:basedOn w:val="Domylnaczcionkaakapitu"/>
    <w:link w:val="Nagwek1"/>
    <w:uiPriority w:val="99"/>
    <w:rsid w:val="00081604"/>
    <w:rPr>
      <w:rFonts w:ascii="Cambria" w:eastAsia="Times New Roman" w:hAnsi="Cambria" w:cs="Times New Roman"/>
      <w:color w:val="365F91"/>
      <w:sz w:val="32"/>
      <w:szCs w:val="32"/>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color w:val="00000A"/>
      <w:sz w:val="20"/>
      <w:szCs w:val="20"/>
      <w:lang w:eastAsia="pl-PL"/>
    </w:rPr>
  </w:style>
  <w:style w:type="character" w:styleId="Odwoaniedokomentarza">
    <w:name w:val="annotation reference"/>
    <w:basedOn w:val="Domylnaczcionkaakapitu"/>
    <w:uiPriority w:val="99"/>
    <w:semiHidden/>
    <w:unhideWhenUsed/>
    <w:rPr>
      <w:sz w:val="16"/>
      <w:szCs w:val="16"/>
    </w:rPr>
  </w:style>
  <w:style w:type="character" w:customStyle="1" w:styleId="TekstdymkaZnak">
    <w:name w:val="Tekst dymka Znak"/>
    <w:basedOn w:val="Domylnaczcionkaakapitu"/>
    <w:link w:val="Tekstdymka"/>
    <w:uiPriority w:val="99"/>
    <w:semiHidden/>
    <w:rsid w:val="00AE77FF"/>
    <w:rPr>
      <w:rFonts w:ascii="Tahoma" w:eastAsia="Times New Roman" w:hAnsi="Tahoma" w:cs="Tahoma"/>
      <w:color w:val="00000A"/>
      <w:sz w:val="16"/>
      <w:szCs w:val="16"/>
      <w:lang w:eastAsia="pl-PL"/>
    </w:rPr>
  </w:style>
  <w:style w:type="character" w:customStyle="1" w:styleId="TematkomentarzaZnak">
    <w:name w:val="Temat komentarza Znak"/>
    <w:basedOn w:val="TekstkomentarzaZnak"/>
    <w:link w:val="Tematkomentarza"/>
    <w:uiPriority w:val="99"/>
    <w:semiHidden/>
    <w:rsid w:val="00AC3B3F"/>
    <w:rPr>
      <w:rFonts w:ascii="Times New Roman" w:eastAsia="Times New Roman" w:hAnsi="Times New Roman" w:cs="Times New Roman"/>
      <w:b/>
      <w:bCs/>
      <w:color w:val="00000A"/>
      <w:sz w:val="20"/>
      <w:szCs w:val="20"/>
      <w:lang w:eastAsia="pl-PL"/>
    </w:rPr>
  </w:style>
  <w:style w:type="character" w:customStyle="1" w:styleId="StopkaZnak">
    <w:name w:val="Stopka Znak"/>
    <w:basedOn w:val="Domylnaczcionkaakapitu"/>
    <w:link w:val="Stopka"/>
    <w:uiPriority w:val="99"/>
    <w:rsid w:val="00D42AD9"/>
    <w:rPr>
      <w:rFonts w:ascii="Times New Roman" w:eastAsia="Times New Roman" w:hAnsi="Times New Roman" w:cs="Times New Roman"/>
      <w:color w:val="00000A"/>
      <w:sz w:val="24"/>
      <w:szCs w:val="24"/>
      <w:lang w:eastAsia="pl-PL"/>
    </w:rPr>
  </w:style>
  <w:style w:type="paragraph" w:styleId="Nagwek">
    <w:name w:val="header"/>
    <w:basedOn w:val="Normalny"/>
    <w:next w:val="Tretekstu"/>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FreeSans"/>
    </w:rPr>
  </w:style>
  <w:style w:type="paragraph" w:styleId="Podpis">
    <w:name w:val="Signature"/>
    <w:basedOn w:val="Normalny"/>
    <w:pPr>
      <w:suppressLineNumbers/>
      <w:spacing w:before="120" w:after="120"/>
    </w:pPr>
    <w:rPr>
      <w:rFonts w:cs="FreeSans"/>
      <w:i/>
      <w:iCs/>
    </w:rPr>
  </w:style>
  <w:style w:type="paragraph" w:customStyle="1" w:styleId="Indeks">
    <w:name w:val="Indeks"/>
    <w:basedOn w:val="Normalny"/>
    <w:pPr>
      <w:suppressLineNumbers/>
    </w:pPr>
    <w:rPr>
      <w:rFonts w:cs="FreeSans"/>
    </w:rPr>
  </w:style>
  <w:style w:type="paragraph" w:customStyle="1" w:styleId="Gwka">
    <w:name w:val="Główka"/>
    <w:basedOn w:val="Normalny"/>
    <w:pPr>
      <w:keepNext/>
      <w:spacing w:before="240" w:after="120"/>
    </w:pPr>
    <w:rPr>
      <w:rFonts w:ascii="Liberation Sans" w:eastAsia="Droid Sans Fallback" w:hAnsi="Liberation Sans" w:cs="FreeSans"/>
      <w:sz w:val="28"/>
      <w:szCs w:val="28"/>
    </w:rPr>
  </w:style>
  <w:style w:type="paragraph" w:customStyle="1" w:styleId="Sygnatura">
    <w:name w:val="Sygnatura"/>
    <w:basedOn w:val="Normalny"/>
    <w:pPr>
      <w:suppressLineNumbers/>
      <w:spacing w:before="120" w:after="120"/>
    </w:pPr>
    <w:rPr>
      <w:rFonts w:cs="FreeSans"/>
      <w:i/>
      <w:iCs/>
    </w:rPr>
  </w:style>
  <w:style w:type="paragraph" w:customStyle="1" w:styleId="ARTartustawynprozporzdzenia">
    <w:name w:val="ART(§) – art. ustawy (§ np. rozporządzenia)"/>
    <w:link w:val="ARTartustawynprozporzdzeniaZnak"/>
    <w:rsid w:val="00EE70C8"/>
    <w:pPr>
      <w:suppressAutoHyphens/>
      <w:spacing w:before="120" w:line="360" w:lineRule="auto"/>
      <w:ind w:firstLine="510"/>
      <w:jc w:val="both"/>
    </w:pPr>
    <w:rPr>
      <w:rFonts w:ascii="Times" w:eastAsia="Times New Roman" w:hAnsi="Times" w:cs="Arial"/>
      <w:color w:val="00000A"/>
      <w:sz w:val="24"/>
      <w:szCs w:val="20"/>
      <w:lang w:eastAsia="pl-PL"/>
    </w:rPr>
  </w:style>
  <w:style w:type="paragraph" w:styleId="Akapitzlist">
    <w:name w:val="List Paragraph"/>
    <w:basedOn w:val="Normalny"/>
    <w:uiPriority w:val="34"/>
    <w:qFormat/>
    <w:rsid w:val="008A1CE1"/>
    <w:pPr>
      <w:ind w:left="720"/>
      <w:contextualSpacing/>
    </w:pPr>
  </w:style>
  <w:style w:type="paragraph" w:styleId="Tekstprzypisudolnego">
    <w:name w:val="footnote text"/>
    <w:basedOn w:val="Normalny"/>
    <w:link w:val="TekstprzypisudolnegoZnak"/>
    <w:uiPriority w:val="99"/>
    <w:rsid w:val="008A1CE1"/>
    <w:rPr>
      <w:rFonts w:ascii="Calibri" w:hAnsi="Calibri"/>
      <w:sz w:val="20"/>
      <w:szCs w:val="20"/>
      <w:lang w:eastAsia="en-US"/>
    </w:rPr>
  </w:style>
  <w:style w:type="paragraph" w:customStyle="1" w:styleId="Default">
    <w:name w:val="Default"/>
    <w:uiPriority w:val="99"/>
    <w:rsid w:val="00B864DF"/>
    <w:pPr>
      <w:suppressAutoHyphens/>
      <w:spacing w:line="240" w:lineRule="auto"/>
    </w:pPr>
    <w:rPr>
      <w:rFonts w:ascii="Arial" w:eastAsia="Times New Roman" w:hAnsi="Arial" w:cs="Arial"/>
      <w:color w:val="000000"/>
      <w:sz w:val="24"/>
      <w:szCs w:val="24"/>
    </w:rPr>
  </w:style>
  <w:style w:type="paragraph" w:customStyle="1" w:styleId="Przypisdolny">
    <w:name w:val="Przypis dolny"/>
    <w:basedOn w:val="Normalny"/>
  </w:style>
  <w:style w:type="paragraph" w:styleId="Tekstkomentarza">
    <w:name w:val="annotation text"/>
    <w:basedOn w:val="Normalny"/>
    <w:link w:val="TekstkomentarzaZnak"/>
    <w:uiPriority w:val="99"/>
    <w:semiHidden/>
    <w:unhideWhenUsed/>
    <w:rPr>
      <w:sz w:val="20"/>
      <w:szCs w:val="20"/>
    </w:rPr>
  </w:style>
  <w:style w:type="paragraph" w:styleId="Tekstdymka">
    <w:name w:val="Balloon Text"/>
    <w:basedOn w:val="Normalny"/>
    <w:link w:val="TekstdymkaZnak"/>
    <w:uiPriority w:val="99"/>
    <w:semiHidden/>
    <w:unhideWhenUsed/>
    <w:rsid w:val="00AE77FF"/>
    <w:rPr>
      <w:rFonts w:ascii="Tahoma" w:hAnsi="Tahoma" w:cs="Tahoma"/>
      <w:sz w:val="16"/>
      <w:szCs w:val="16"/>
    </w:rPr>
  </w:style>
  <w:style w:type="paragraph" w:styleId="Tematkomentarza">
    <w:name w:val="annotation subject"/>
    <w:basedOn w:val="Tekstkomentarza"/>
    <w:link w:val="TematkomentarzaZnak"/>
    <w:uiPriority w:val="99"/>
    <w:semiHidden/>
    <w:unhideWhenUsed/>
    <w:rsid w:val="00AC3B3F"/>
    <w:rPr>
      <w:b/>
      <w:bCs/>
    </w:rPr>
  </w:style>
  <w:style w:type="paragraph" w:styleId="Stopka">
    <w:name w:val="footer"/>
    <w:basedOn w:val="Normalny"/>
    <w:link w:val="StopkaZnak"/>
    <w:uiPriority w:val="99"/>
    <w:unhideWhenUsed/>
    <w:rsid w:val="00D42AD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2602</Words>
  <Characters>15616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PPL</Company>
  <LinksUpToDate>false</LinksUpToDate>
  <CharactersWithSpaces>18182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Czernicki</dc:creator>
  <cp:lastModifiedBy>Filip Czernicki</cp:lastModifiedBy>
  <cp:revision>2</cp:revision>
  <dcterms:created xsi:type="dcterms:W3CDTF">2017-03-03T11:39:00Z</dcterms:created>
  <dcterms:modified xsi:type="dcterms:W3CDTF">2017-03-03T11:39:00Z</dcterms:modified>
  <dc:language>pl-PL</dc:language>
</cp:coreProperties>
</file>