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024"/>
        </w:tabs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024"/>
        </w:tabs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tabs>
          <w:tab w:val="left" w:leader="none" w:pos="3024"/>
        </w:tabs>
        <w:spacing w:line="2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Gdańsk, 1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.09.2024 r.</w:t>
      </w:r>
    </w:p>
    <w:p w:rsidR="00000000" w:rsidDel="00000000" w:rsidP="00000000" w:rsidRDefault="00000000" w:rsidRPr="00000000" w14:paraId="00000004">
      <w:pPr>
        <w:tabs>
          <w:tab w:val="left" w:leader="none" w:pos="3024"/>
        </w:tabs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Race for the Cure już 22 września w Gdańsku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Race for the Cure to międzynarodowy bieg i marsz charytatywny, który powstał w USA w latach 80. w celu solidaryzowania się z kobietami chorującymi na raka piersi. To też największa taka inicjatywa w Europie. W tym roku pobieg</w:t>
      </w:r>
      <w:r w:rsidDel="00000000" w:rsidR="00000000" w:rsidRPr="00000000">
        <w:rPr>
          <w:b w:val="1"/>
          <w:sz w:val="24"/>
          <w:szCs w:val="24"/>
          <w:rtl w:val="0"/>
        </w:rPr>
        <w:t xml:space="preserve">ły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już drużyny m.in. z </w:t>
      </w:r>
      <w:r w:rsidDel="00000000" w:rsidR="00000000" w:rsidRPr="00000000">
        <w:rPr>
          <w:b w:val="1"/>
          <w:sz w:val="24"/>
          <w:szCs w:val="24"/>
          <w:rtl w:val="0"/>
        </w:rPr>
        <w:t xml:space="preserve">Włoch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 Portugal</w:t>
      </w:r>
      <w:r w:rsidDel="00000000" w:rsidR="00000000" w:rsidRPr="00000000">
        <w:rPr>
          <w:b w:val="1"/>
          <w:sz w:val="24"/>
          <w:szCs w:val="24"/>
          <w:rtl w:val="0"/>
        </w:rPr>
        <w:t xml:space="preserve">ii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i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Rumuni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 Polską edycję rozpocznie wydarzenie w Gdańsku, już w najbliższą niedzielę – 22 września. J</w:t>
      </w:r>
      <w:r w:rsidDel="00000000" w:rsidR="00000000" w:rsidRPr="00000000">
        <w:rPr>
          <w:b w:val="1"/>
          <w:sz w:val="24"/>
          <w:szCs w:val="24"/>
          <w:rtl w:val="0"/>
        </w:rPr>
        <w:t xml:space="preserve">ak dołączyć?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Race for the Cure odbędzie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się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 Gdańsku po raz 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 tak, jak w latach ubiegłych za jego organizację odpowiada Fundacja OmeaLife – Rak piersi nie ogranicza.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Serdecznie zapraszam wszystkich mieszkańców Gdańska, Sopotu, Gdyni i okolic do udziału w biegu. Ogromnie liczę, że pokażecie moc wsparcia dla kobiet chorych na raka piersi i dołączycie do tej fantastycznej inicjatywy. To wydarzenie dla każdego – kobiet w trakcie i po leczeniu raka piersi, ich bliskich, osób zdrowych, młodych, starszych, rodzin z dziećmi, singli – dla wszystkich, którzy chcą wspierać kobiety, ale te</w:t>
      </w:r>
      <w:r w:rsidDel="00000000" w:rsidR="00000000" w:rsidRPr="00000000">
        <w:rPr>
          <w:i w:val="1"/>
          <w:rtl w:val="0"/>
        </w:rPr>
        <w:t xml:space="preserve">ż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zwiększać świadomość dotyczącą profilaktyki raka piersi. Zaplanowaliśmy mnóstwo atrakcji, abyście mogli miło spędzić tę niedzielę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mówi  prezeska Fundacji OmeaLife, Magdalena Kardynał.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 marszu 2,5 km lub biegu 5 km na trasie Hevelianum – Góra Gradowa – Majdan można dołączyć do 19 września, rejestrując się za pośrednictwem strony wydarzenia </w:t>
      </w:r>
      <w:hyperlink r:id="rId7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https://www.raceforthecure.eu/pl/Races/Race/Id/49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 Później rejestracja będzie możliwa w Biurze Zawodów w Hevelianum (ul. Gradowa 6, 80-802 Gdańsk). Zestaw startowy zawiera koszulkę (należy wybrać białą lub różową), medal, numer startowy, pomiar czasu, wodę i kosztuje 1</w:t>
      </w:r>
      <w:r w:rsidDel="00000000" w:rsidR="00000000" w:rsidRPr="00000000">
        <w:rPr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0 zł. W koszulkach różowych trasę biegu przemierzają kobiety z diagnozą raka piersi, a w białych – osoby wspierające, solidaryzujące się z chorymi. Dochód z zakupu pakietów zostanie przeznaczony na działalność Fundacji OmeaLife, która wspiera kobiety w trakcie leczenia raka piersi.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Dzieci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 12 r. ż. mogą aktywnie uczestniczyć w biegu lub marszu bezpłatnie</w:t>
      </w:r>
      <w:r w:rsidDel="00000000" w:rsidR="00000000" w:rsidRPr="00000000">
        <w:rPr>
          <w:rtl w:val="0"/>
        </w:rPr>
        <w:t xml:space="preserve">. Trasa nie jest dostosowana do wózków.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Na wydarzeniu mile widziane są także psy (na smyczy).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Odbiór pakietów startowych odbędzie się w sobotę 21 września w godz. 16:00-20:00 w Biurze Zawodów w Hevelianum </w:t>
      </w:r>
      <w:r w:rsidDel="00000000" w:rsidR="00000000" w:rsidRPr="00000000">
        <w:rPr>
          <w:rtl w:val="0"/>
        </w:rPr>
        <w:t xml:space="preserve">(ul. Gradowa 6, 80-802 Gdańsk)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Program wydarzenia 22 września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8:00  Otwarcie biura zawodów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10:30 Inauguracja wydarzenia i rozpoczęcie pikniku rodzinnego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11:00 Wielka muzyczna Różowa Feta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11:45 Rozgrzewka dla uczestników Nordic Walking 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12:00 Start Nordic Walking 2,5 km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12:45 Rozgrzewka dla biegaczy 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13:00 Start biegaczy 5 km (2 pętle po 2,5 km)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14:00 Bieg dla dzieci w różnych kategoriach wiekowych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15:00 Wręczenie statuetek 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16:00 Memoriał kobiet, których już z nami nie ma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17:00 Zakończenie pikniku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Każdego roku w Race For The Cure bierze udział ponad milion osób w Europie. Obecnie skupia się nie tylko wokół raka piersi, ale też zaznacza istotę profilaktyki, czyli regularnego wykonywania badań i prowadzenia zdrowego stylu życia.</w:t>
      </w:r>
    </w:p>
    <w:p w:rsidR="00000000" w:rsidDel="00000000" w:rsidP="00000000" w:rsidRDefault="00000000" w:rsidRPr="00000000" w14:paraId="0000001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Partnerami wydarzenia są: </w:t>
      </w:r>
      <w:r w:rsidDel="00000000" w:rsidR="00000000" w:rsidRPr="00000000">
        <w:rPr>
          <w:rtl w:val="0"/>
        </w:rPr>
        <w:t xml:space="preserve">Urząd Miasta Gdańsk, Hevelianum, Gdański Ośrodek Sportu, Uniwersyteckie Centrum Kliniczne, Gdański Uniwersytet Medyczny, AmberExpo, Gdańskie Autobusy i Tramwaje, Akademia Wychowania Fizycznego i Sportu.</w:t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Patronami biegu są: </w:t>
      </w:r>
      <w:r w:rsidDel="00000000" w:rsidR="00000000" w:rsidRPr="00000000">
        <w:rPr>
          <w:highlight w:val="white"/>
          <w:rtl w:val="0"/>
        </w:rPr>
        <w:t xml:space="preserve">Radio Gdańsk, Uczelnie Farenheita, Adwokatura Polska. Honorowe patronaty objęli: Prezydent Miasta Gdańska Aleksandra Dulkiewicz i Marszałek Województwa Pomorskiego Mieczysław Struk.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Kolejne biegi stacjonarne odbędą się 5 października w Poznaniu i 20 października w Kaliszu. Do końca października można dołączyć do wydarzenia także online i pobiec z dowolnego miejsca.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Informacje o profilaktyce raka piersi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Październik to Miesiąc Świadomości Raka Piersi przypominający o istocie profilaktyki, zarówno pierwotnej, dotyczącej szeroko pojętego stylu życia, jak i wtórnej, czyli badań przesiewowych. Zrównoważony styl życia uwzględnia odpowiednią ilość snu, właściwą dietę i aktywność fizyczną. Istotne jest także unikanie używek, m.in. alkoholu i papierosów. Badania w profilaktyce raka piersi obejmują: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regularne, comiesięczne samobadanie piersi (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zobacz, jak prawidłowo je wykonać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),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raz na dwa lata mammografi</w:t>
      </w:r>
      <w:r w:rsidDel="00000000" w:rsidR="00000000" w:rsidRPr="00000000">
        <w:rPr>
          <w:rtl w:val="0"/>
        </w:rPr>
        <w:t xml:space="preserve">ę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u kobiet w wieku 45-74 (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bezpłatny program profilaktyki raka piersi finansowany przez NFZ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),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raz w roku badanie palpacyjne piersi wykonane przez ginekologa podczas rutynowej wizyty ginekologicznej,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dodatkowo – jeśli lekarz zaleci – USG. 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Jeśli podczas samobadania coś zaniepokoi kobietę (np. zauważy jakąś zmianę podczas samobadania), powinna umówić się na wizytę – bez skierowania do onkologa, ginekologa lub lekarza pierwszego kontaktu, ze skierowaniem do chirurga onkologicznego. Szczegółowe informacje dot. profilaktyki dostępne są na stronie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wyleczrakapiersi.pl/przymierz-sie-do-samobadania/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Misją </w:t>
      </w:r>
      <w:hyperlink r:id="rId11">
        <w:r w:rsidDel="00000000" w:rsidR="00000000" w:rsidRPr="00000000">
          <w:rPr>
            <w:rFonts w:ascii="Calibri" w:cs="Calibri" w:eastAsia="Calibri" w:hAnsi="Calibri"/>
            <w:b w:val="1"/>
            <w:color w:val="0563c1"/>
            <w:sz w:val="20"/>
            <w:szCs w:val="20"/>
            <w:u w:val="single"/>
            <w:rtl w:val="0"/>
          </w:rPr>
          <w:t xml:space="preserve">Fundacji Omealife – Rak piersi nie ogranicza</w:t>
        </w:r>
      </w:hyperlink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jest wsparcie edukacyjne pacjentów z zakresu metod leczenia raka piersi, po to by chorzy mogli stać się partnerem do rozmowy z lekarzem i świadomie podejmowali decyzje o swoim leczeniu. Fundacja buduje zaangażowaną społeczność, moderując </w:t>
      </w:r>
      <w:r w:rsidDel="00000000" w:rsidR="00000000" w:rsidRPr="00000000">
        <w:rPr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grupy na portalu Facebook tj. Chirurgia piersi – nie jest mi obojętnie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OmeaActive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oraz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OmeaReh, realizując live chaty z ekspertami. Działania realizowane są w Centrum Wiedzy o Raku Piersi, które oferuje konsultacje z lekarzami, wsparcie prawne i socjalne, warsztaty oraz konferencje medyczne dedykowane pacjentom. Zespół OmeaLife motywuje swoich podopiecznych, aby pozostali aktywni zawodowo i nie rezygnowali ze swoich pasji w trakcie i po zakończonym leczeniu. Fundacja prowadzi działania rzecznicze z przedstawicielami instytucji publicznych zabiegając o poprawę dostępu oraz jakości leczenia dla pacjentów onkologicznych.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Race for the Cure®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jest największą europejską imprezą sportową dedykowaną zdrowiu kobiet. Wspiera organizacje i szpitale w zbieraniu funduszy do leczenia raka piersi oraz w podnoszeniu świadomości profilaktyki. W Europie, przy 500 000 diagnozach raka piersi i 130 000 przypadkach śmiertelnych rocznie, fundusze te mają ogromne znaczenie.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Kampania „Wylecz raka piersi HER2+”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powstała z myślą o kobietach z tym podtypem nowotworu, a jej celem jest wsparcie oraz edukacja chorych i ich bliskich. W ramach inicjatywy uruchomiono stronę </w:t>
      </w:r>
      <w:hyperlink r:id="rId12">
        <w:r w:rsidDel="00000000" w:rsidR="00000000" w:rsidRPr="00000000">
          <w:rPr>
            <w:rFonts w:ascii="Calibri" w:cs="Calibri" w:eastAsia="Calibri" w:hAnsi="Calibri"/>
            <w:color w:val="0563c1"/>
            <w:sz w:val="20"/>
            <w:szCs w:val="20"/>
            <w:u w:val="single"/>
            <w:rtl w:val="0"/>
          </w:rPr>
          <w:t xml:space="preserve">wyleczrakapiersi.pl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oraz fanpage na Facebooku </w:t>
      </w:r>
      <w:hyperlink r:id="rId13">
        <w:r w:rsidDel="00000000" w:rsidR="00000000" w:rsidRPr="00000000">
          <w:rPr>
            <w:rFonts w:ascii="Calibri" w:cs="Calibri" w:eastAsia="Calibri" w:hAnsi="Calibri"/>
            <w:color w:val="0563c1"/>
            <w:sz w:val="20"/>
            <w:szCs w:val="20"/>
            <w:u w:val="single"/>
            <w:rtl w:val="0"/>
          </w:rPr>
          <w:t xml:space="preserve">Wylecz raka HER2+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Od 2023 roku ważnym aspektem kampanii jest także promowanie profilaktyki raka piersi, dlatego zainicjowano akcję „Przymierz się do samobadania”.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Kontakt dla mediów: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Ewelina Jaskuła</w:t>
        <w:br w:type="textWrapping"/>
        <w:t xml:space="preserve">Tel. +48 665 339 877</w:t>
        <w:br w:type="textWrapping"/>
        <w:t xml:space="preserve">E-mail: </w:t>
      </w:r>
      <w:hyperlink r:id="rId14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ewelina.jaskula@goodonepr.pl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Aleksandra Sykulska</w:t>
        <w:br w:type="textWrapping"/>
        <w:t xml:space="preserve">Tel. +48 796 990 064</w:t>
        <w:br w:type="textWrapping"/>
        <w:t xml:space="preserve">E-mail: </w:t>
      </w:r>
      <w:hyperlink r:id="rId15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aleksandra.sykulska@goodonepr.pl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16" w:type="default"/>
      <w:pgSz w:h="16838" w:w="11906" w:orient="portrait"/>
      <w:pgMar w:bottom="1417" w:top="1417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0" distT="0" distL="0" distR="0">
          <wp:extent cx="926465" cy="621665"/>
          <wp:effectExtent b="0" l="0" r="0" t="0"/>
          <wp:docPr id="9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6465" cy="6216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</w:t>
    </w:r>
    <w:r w:rsidDel="00000000" w:rsidR="00000000" w:rsidRPr="00000000">
      <w:rPr>
        <w:color w:val="000000"/>
        <w:rtl w:val="0"/>
      </w:rPr>
      <w:t xml:space="preserve">     </w:t>
    </w:r>
    <w:r w:rsidDel="00000000" w:rsidR="00000000" w:rsidRPr="00000000">
      <w:rPr/>
      <w:drawing>
        <wp:inline distB="0" distT="0" distL="0" distR="0">
          <wp:extent cx="1299845" cy="586740"/>
          <wp:effectExtent b="0" l="0" r="0" t="0"/>
          <wp:docPr id="1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9845" cy="5867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</w:t>
    </w:r>
    <w:r w:rsidDel="00000000" w:rsidR="00000000" w:rsidRPr="00000000">
      <w:rPr/>
      <w:drawing>
        <wp:inline distB="0" distT="0" distL="0" distR="0">
          <wp:extent cx="1561465" cy="645795"/>
          <wp:effectExtent b="0" l="0" r="0" t="0"/>
          <wp:docPr id="10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-8682" l="0" r="-8689" t="0"/>
                  <a:stretch>
                    <a:fillRect/>
                  </a:stretch>
                </pic:blipFill>
                <pic:spPr>
                  <a:xfrm>
                    <a:off x="0" y="0"/>
                    <a:ext cx="1561465" cy="6457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0" distT="0" distL="0" distR="0">
          <wp:extent cx="1450975" cy="802640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0975" cy="8026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czeinternetowe" w:customStyle="1">
    <w:name w:val="Łącze internetowe"/>
    <w:basedOn w:val="Domylnaczcionkaakapitu"/>
    <w:uiPriority w:val="99"/>
    <w:unhideWhenUsed w:val="1"/>
    <w:rsid w:val="00D269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qFormat w:val="1"/>
    <w:rsid w:val="00D2699D"/>
    <w:rPr>
      <w:color w:val="605e5c"/>
      <w:shd w:color="auto" w:fill="e1dfdd" w:val="clear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qFormat w:val="1"/>
    <w:rsid w:val="00005CBF"/>
    <w:rPr>
      <w:sz w:val="16"/>
      <w:szCs w:val="16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qFormat w:val="1"/>
    <w:rsid w:val="00005CBF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qFormat w:val="1"/>
    <w:rsid w:val="00005CBF"/>
    <w:rPr>
      <w:b w:val="1"/>
      <w:bCs w:val="1"/>
      <w:sz w:val="20"/>
      <w:szCs w:val="20"/>
    </w:rPr>
  </w:style>
  <w:style w:type="character" w:styleId="NagwekZnak" w:customStyle="1">
    <w:name w:val="Nagłówek Znak"/>
    <w:basedOn w:val="Domylnaczcionkaakapitu"/>
    <w:link w:val="Nagwek"/>
    <w:uiPriority w:val="99"/>
    <w:qFormat w:val="1"/>
    <w:rsid w:val="000A4830"/>
  </w:style>
  <w:style w:type="character" w:styleId="StopkaZnak" w:customStyle="1">
    <w:name w:val="Stopka Znak"/>
    <w:basedOn w:val="Domylnaczcionkaakapitu"/>
    <w:link w:val="Stopka"/>
    <w:uiPriority w:val="99"/>
    <w:qFormat w:val="1"/>
    <w:rsid w:val="000A4830"/>
  </w:style>
  <w:style w:type="paragraph" w:styleId="Nagwek">
    <w:name w:val="header"/>
    <w:basedOn w:val="Normalny"/>
    <w:next w:val="Tekstpodstawowy"/>
    <w:link w:val="NagwekZnak"/>
    <w:uiPriority w:val="99"/>
    <w:unhideWhenUsed w:val="1"/>
    <w:rsid w:val="000A48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ks" w:customStyle="1">
    <w:name w:val="Indeks"/>
    <w:basedOn w:val="Normalny"/>
    <w:qFormat w:val="1"/>
    <w:pPr>
      <w:suppressLineNumbers w:val="1"/>
    </w:pPr>
    <w:rPr>
      <w:rFonts w:cs="Lucida Sans"/>
    </w:rPr>
  </w:style>
  <w:style w:type="paragraph" w:styleId="LO-normal" w:customStyle="1">
    <w:name w:val="LO-normal"/>
    <w:qFormat w:val="1"/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qFormat w:val="1"/>
    <w:rsid w:val="00005CB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qFormat w:val="1"/>
    <w:rsid w:val="00005CBF"/>
    <w:rPr>
      <w:b w:val="1"/>
      <w:bCs w:val="1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Gwkaistopka" w:customStyle="1">
    <w:name w:val="Główka i stopka"/>
    <w:basedOn w:val="Normalny"/>
    <w:qFormat w:val="1"/>
  </w:style>
  <w:style w:type="paragraph" w:styleId="Stopka">
    <w:name w:val="footer"/>
    <w:basedOn w:val="Normalny"/>
    <w:link w:val="StopkaZnak"/>
    <w:uiPriority w:val="99"/>
    <w:unhideWhenUsed w:val="1"/>
    <w:rsid w:val="000A483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 w:val="1"/>
    <w:unhideWhenUsed w:val="1"/>
    <w:qFormat w:val="1"/>
    <w:rsid w:val="000A4830"/>
    <w:rPr>
      <w:rFonts w:ascii="Times New Roman" w:cs="Times New Roman" w:hAnsi="Times New Roman"/>
      <w:sz w:val="24"/>
      <w:szCs w:val="24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prawka">
    <w:name w:val="Revision"/>
    <w:hidden w:val="1"/>
    <w:uiPriority w:val="99"/>
    <w:semiHidden w:val="1"/>
    <w:rsid w:val="004827CB"/>
    <w:rPr>
      <w:rFonts w:cs="Mangal"/>
      <w:szCs w:val="20"/>
    </w:rPr>
  </w:style>
  <w:style w:type="character" w:styleId="Hipercze">
    <w:name w:val="Hyperlink"/>
    <w:basedOn w:val="Domylnaczcionkaakapitu"/>
    <w:uiPriority w:val="99"/>
    <w:unhideWhenUsed w:val="1"/>
    <w:rsid w:val="00253EE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omealife.pl/" TargetMode="External"/><Relationship Id="rId10" Type="http://schemas.openxmlformats.org/officeDocument/2006/relationships/hyperlink" Target="http://wyleczrakapiersi.pl/przymierz-sie-do-samobadania/" TargetMode="External"/><Relationship Id="rId13" Type="http://schemas.openxmlformats.org/officeDocument/2006/relationships/hyperlink" Target="https://www.facebook.com/wyleczrakapiersiher2plus/" TargetMode="External"/><Relationship Id="rId12" Type="http://schemas.openxmlformats.org/officeDocument/2006/relationships/hyperlink" Target="https://wyleczrakapiersi.p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acjent.gov.pl/program-profilaktyczny/profilaktyka-raka-piersi" TargetMode="External"/><Relationship Id="rId15" Type="http://schemas.openxmlformats.org/officeDocument/2006/relationships/hyperlink" Target="mailto:aleksandra.sykulska@goodonepr.pl" TargetMode="External"/><Relationship Id="rId14" Type="http://schemas.openxmlformats.org/officeDocument/2006/relationships/hyperlink" Target="mailto:ewelina.jaskula@goodonepr.pl" TargetMode="Externa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raceforthecure.eu/pl/Races/Race/Id/49" TargetMode="External"/><Relationship Id="rId8" Type="http://schemas.openxmlformats.org/officeDocument/2006/relationships/hyperlink" Target="https://www.youtube.com/watch?v=GZIrfnqZt0Q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jpg"/><Relationship Id="rId3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uhKA/yzyzd4bPZGFMpvg8TYhAQ==">CgMxLjA4AGorChRzdWdnZXN0Ljk2ZXh1aG9rNmFibxITQWxla3NhbmRyYSBTeWt1bHNrYWorChRzdWdnZXN0LmFjdGFnbmxlZ25jZRITQWxla3NhbmRyYSBTeWt1bHNrYWorChRzdWdnZXN0LmFuMzdtc3N5anBpeRITQWxla3NhbmRyYSBTeWt1bHNrYWorChRzdWdnZXN0LnZ0NWFuZXdubHk5aRITQWxla3NhbmRyYSBTeWt1bHNrYWorChRzdWdnZXN0Ljk5NGxlZTduNXBiYhITQWxla3NhbmRyYSBTeWt1bHNrYWorChRzdWdnZXN0LjY4dGlhOHo5ZnFhdBITQWxla3NhbmRyYSBTeWt1bHNrYWorChRzdWdnZXN0Lmd1cXd5bG0zZGxybBITQWxla3NhbmRyYSBTeWt1bHNrYXIhMVdjdFlCQWtpSFdmNkxNbTFRbWVqbm1LYkd6UW13RGx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2024-09-16T09:26:00Z</dcterms:created>
  <dc:creator>Ewelina Jaskula</dc:creator>
</cp:coreProperties>
</file>