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B70E" w14:textId="486843F8" w:rsidR="00A311FB" w:rsidRDefault="00F8639B" w:rsidP="00F8639B">
      <w:pPr>
        <w:spacing w:after="120" w:line="276" w:lineRule="auto"/>
      </w:pPr>
      <w:r>
        <w:t>W</w:t>
      </w:r>
      <w:r w:rsidR="00E61287">
        <w:t xml:space="preserve">ojciech </w:t>
      </w:r>
      <w:r>
        <w:t>K</w:t>
      </w:r>
      <w:r w:rsidR="00E61287">
        <w:t>aczmarczyk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Warszawa, </w:t>
      </w:r>
      <w:r w:rsidR="00E61287">
        <w:t>23 maja</w:t>
      </w:r>
      <w:r>
        <w:t xml:space="preserve"> 2024 roku</w:t>
      </w:r>
    </w:p>
    <w:p w14:paraId="103B67A2" w14:textId="4F45AD4A" w:rsidR="00F8639B" w:rsidRDefault="00F8639B" w:rsidP="00F8639B">
      <w:pPr>
        <w:spacing w:after="120" w:line="276" w:lineRule="auto"/>
      </w:pPr>
      <w:r>
        <w:t>P</w:t>
      </w:r>
      <w:r w:rsidR="00E61287">
        <w:t xml:space="preserve">rzemysław </w:t>
      </w:r>
      <w:r>
        <w:t>J</w:t>
      </w:r>
      <w:r w:rsidR="00E61287">
        <w:t>aśkiewicz</w:t>
      </w:r>
    </w:p>
    <w:p w14:paraId="520379A2" w14:textId="49F58C5B" w:rsidR="00F8639B" w:rsidRDefault="00F8639B" w:rsidP="00F8639B">
      <w:pPr>
        <w:spacing w:after="120" w:line="276" w:lineRule="auto"/>
      </w:pPr>
      <w:r>
        <w:t>dr M</w:t>
      </w:r>
      <w:r w:rsidR="00E61287">
        <w:t xml:space="preserve">ichał </w:t>
      </w:r>
      <w:proofErr w:type="spellStart"/>
      <w:r w:rsidR="00E61287">
        <w:t>Rulski</w:t>
      </w:r>
      <w:proofErr w:type="spellEnd"/>
    </w:p>
    <w:p w14:paraId="6A5E1623" w14:textId="77777777" w:rsidR="00F8639B" w:rsidRDefault="00F8639B" w:rsidP="00F8639B">
      <w:pPr>
        <w:spacing w:after="120" w:line="276" w:lineRule="auto"/>
      </w:pPr>
    </w:p>
    <w:p w14:paraId="36843833" w14:textId="77777777" w:rsidR="00F8639B" w:rsidRPr="0034544C" w:rsidRDefault="00F8639B" w:rsidP="00F8639B">
      <w:pPr>
        <w:spacing w:after="120" w:line="276" w:lineRule="auto"/>
        <w:jc w:val="center"/>
        <w:rPr>
          <w:b/>
        </w:rPr>
      </w:pPr>
      <w:r w:rsidRPr="0034544C">
        <w:rPr>
          <w:b/>
        </w:rPr>
        <w:t>OŚWIADCZENIE</w:t>
      </w:r>
    </w:p>
    <w:p w14:paraId="096CBD32" w14:textId="77777777" w:rsidR="00F8639B" w:rsidRDefault="00D25AFB" w:rsidP="00F8639B">
      <w:pPr>
        <w:spacing w:after="120" w:line="276" w:lineRule="auto"/>
        <w:jc w:val="center"/>
      </w:pPr>
      <w:r>
        <w:t>d</w:t>
      </w:r>
      <w:r w:rsidR="00F8639B">
        <w:t xml:space="preserve">otyczące </w:t>
      </w:r>
    </w:p>
    <w:p w14:paraId="2BA2D146" w14:textId="77777777" w:rsidR="00F8639B" w:rsidRDefault="00F8639B" w:rsidP="00F8639B">
      <w:pPr>
        <w:spacing w:after="120" w:line="276" w:lineRule="auto"/>
        <w:jc w:val="center"/>
      </w:pPr>
      <w:r>
        <w:t xml:space="preserve">Wystąpienia pokontrolnego </w:t>
      </w:r>
      <w:r w:rsidRPr="00491316">
        <w:rPr>
          <w:rFonts w:ascii="Calibri" w:hAnsi="Calibri" w:cs="Calibri"/>
        </w:rPr>
        <w:t>Najwyższ</w:t>
      </w:r>
      <w:r>
        <w:rPr>
          <w:rFonts w:ascii="Calibri" w:hAnsi="Calibri" w:cs="Calibri"/>
        </w:rPr>
        <w:t>ej</w:t>
      </w:r>
      <w:r w:rsidRPr="00491316">
        <w:rPr>
          <w:rFonts w:ascii="Calibri" w:hAnsi="Calibri" w:cs="Calibri"/>
        </w:rPr>
        <w:t xml:space="preserve"> Izb</w:t>
      </w:r>
      <w:r>
        <w:rPr>
          <w:rFonts w:ascii="Calibri" w:hAnsi="Calibri" w:cs="Calibri"/>
        </w:rPr>
        <w:t>y</w:t>
      </w:r>
      <w:r w:rsidRPr="00491316">
        <w:rPr>
          <w:rFonts w:ascii="Calibri" w:hAnsi="Calibri" w:cs="Calibri"/>
        </w:rPr>
        <w:t xml:space="preserve"> Kontroli</w:t>
      </w:r>
      <w:r>
        <w:rPr>
          <w:rFonts w:ascii="Calibri" w:hAnsi="Calibri" w:cs="Calibri"/>
        </w:rPr>
        <w:t xml:space="preserve"> opublikowanego w dniu 27 marca 2024 roku z kontroli w Narodowym Instytucie Wolności</w:t>
      </w:r>
    </w:p>
    <w:p w14:paraId="2043476B" w14:textId="77777777" w:rsidR="00F8639B" w:rsidRDefault="00F8639B" w:rsidP="00F8639B">
      <w:pPr>
        <w:spacing w:after="120" w:line="276" w:lineRule="auto"/>
      </w:pPr>
    </w:p>
    <w:p w14:paraId="5017974E" w14:textId="77777777" w:rsidR="00AB4931" w:rsidRPr="00837A36" w:rsidRDefault="00F8639B" w:rsidP="00AB4931">
      <w:pPr>
        <w:spacing w:after="120" w:line="276" w:lineRule="auto"/>
        <w:jc w:val="both"/>
        <w:rPr>
          <w:rFonts w:cstheme="minorHAnsi"/>
        </w:rPr>
      </w:pPr>
      <w:r>
        <w:rPr>
          <w:rFonts w:ascii="Calibri" w:hAnsi="Calibri" w:cs="Calibri"/>
        </w:rPr>
        <w:t xml:space="preserve">Od kwietnia 2023 roku do marca 2024 roku trwała kontrola </w:t>
      </w:r>
      <w:r w:rsidR="00D25AFB">
        <w:rPr>
          <w:rFonts w:ascii="Calibri" w:hAnsi="Calibri" w:cs="Calibri"/>
        </w:rPr>
        <w:t xml:space="preserve">przeprowadzona przez </w:t>
      </w:r>
      <w:r w:rsidRPr="00491316">
        <w:rPr>
          <w:rFonts w:ascii="Calibri" w:hAnsi="Calibri" w:cs="Calibri"/>
        </w:rPr>
        <w:t>Najwyższ</w:t>
      </w:r>
      <w:r w:rsidR="00D25AFB">
        <w:rPr>
          <w:rFonts w:ascii="Calibri" w:hAnsi="Calibri" w:cs="Calibri"/>
        </w:rPr>
        <w:t>ą</w:t>
      </w:r>
      <w:r w:rsidRPr="00491316">
        <w:rPr>
          <w:rFonts w:ascii="Calibri" w:hAnsi="Calibri" w:cs="Calibri"/>
        </w:rPr>
        <w:t xml:space="preserve"> Izb</w:t>
      </w:r>
      <w:r w:rsidR="00D25AFB">
        <w:rPr>
          <w:rFonts w:ascii="Calibri" w:hAnsi="Calibri" w:cs="Calibri"/>
        </w:rPr>
        <w:t>ę</w:t>
      </w:r>
      <w:r w:rsidRPr="00491316">
        <w:rPr>
          <w:rFonts w:ascii="Calibri" w:hAnsi="Calibri" w:cs="Calibri"/>
        </w:rPr>
        <w:t xml:space="preserve"> Kontroli</w:t>
      </w:r>
      <w:bookmarkStart w:id="0" w:name="_Hlk156389235"/>
      <w:r w:rsidR="00D25AFB" w:rsidRPr="00D25AFB">
        <w:rPr>
          <w:rFonts w:ascii="Calibri" w:hAnsi="Calibri" w:cs="Calibri"/>
        </w:rPr>
        <w:t xml:space="preserve"> </w:t>
      </w:r>
      <w:r w:rsidR="00D25AFB">
        <w:rPr>
          <w:rFonts w:ascii="Calibri" w:hAnsi="Calibri" w:cs="Calibri"/>
        </w:rPr>
        <w:t>w Narodowym Instytucie Wolności w obszarze p</w:t>
      </w:r>
      <w:r w:rsidR="00D25AFB" w:rsidRPr="00491316">
        <w:rPr>
          <w:rFonts w:ascii="Calibri" w:hAnsi="Calibri" w:cs="Calibri"/>
        </w:rPr>
        <w:t>rzygotowani</w:t>
      </w:r>
      <w:r w:rsidR="00D25AFB">
        <w:rPr>
          <w:rFonts w:ascii="Calibri" w:hAnsi="Calibri" w:cs="Calibri"/>
        </w:rPr>
        <w:t>a</w:t>
      </w:r>
      <w:r w:rsidR="00D25AFB" w:rsidRPr="00491316">
        <w:rPr>
          <w:rFonts w:ascii="Calibri" w:hAnsi="Calibri" w:cs="Calibri"/>
        </w:rPr>
        <w:t xml:space="preserve"> i realizacj</w:t>
      </w:r>
      <w:r w:rsidR="00D25AFB">
        <w:rPr>
          <w:rFonts w:ascii="Calibri" w:hAnsi="Calibri" w:cs="Calibri"/>
        </w:rPr>
        <w:t>i</w:t>
      </w:r>
      <w:r w:rsidR="00D25AFB" w:rsidRPr="00491316">
        <w:rPr>
          <w:rFonts w:ascii="Calibri" w:hAnsi="Calibri" w:cs="Calibri"/>
        </w:rPr>
        <w:t xml:space="preserve"> programów oraz przeprowadzani</w:t>
      </w:r>
      <w:r w:rsidR="00D25AFB">
        <w:rPr>
          <w:rFonts w:ascii="Calibri" w:hAnsi="Calibri" w:cs="Calibri"/>
        </w:rPr>
        <w:t>a</w:t>
      </w:r>
      <w:r w:rsidR="00D25AFB" w:rsidRPr="00491316">
        <w:rPr>
          <w:rFonts w:ascii="Calibri" w:hAnsi="Calibri" w:cs="Calibri"/>
        </w:rPr>
        <w:t xml:space="preserve"> naborów wniosków w ramach tych programów i zawierani</w:t>
      </w:r>
      <w:r w:rsidR="00D25AFB">
        <w:rPr>
          <w:rFonts w:ascii="Calibri" w:hAnsi="Calibri" w:cs="Calibri"/>
        </w:rPr>
        <w:t>a</w:t>
      </w:r>
      <w:r w:rsidR="00D25AFB" w:rsidRPr="00491316">
        <w:rPr>
          <w:rFonts w:ascii="Calibri" w:hAnsi="Calibri" w:cs="Calibri"/>
        </w:rPr>
        <w:t xml:space="preserve"> umów dotyczących finansowania i realizacji wybranych projektów</w:t>
      </w:r>
      <w:bookmarkEnd w:id="0"/>
      <w:r w:rsidR="00D25AFB">
        <w:rPr>
          <w:rFonts w:ascii="Calibri" w:hAnsi="Calibri" w:cs="Calibri"/>
        </w:rPr>
        <w:t xml:space="preserve">, a także </w:t>
      </w:r>
      <w:bookmarkStart w:id="1" w:name="_Hlk156389280"/>
      <w:r w:rsidR="00D25AFB">
        <w:rPr>
          <w:rFonts w:ascii="Calibri" w:hAnsi="Calibri" w:cs="Calibri"/>
        </w:rPr>
        <w:t>r</w:t>
      </w:r>
      <w:r w:rsidR="00D25AFB" w:rsidRPr="00491316">
        <w:rPr>
          <w:rFonts w:ascii="Calibri" w:hAnsi="Calibri" w:cs="Calibri"/>
        </w:rPr>
        <w:t>ozliczani</w:t>
      </w:r>
      <w:r w:rsidR="00D25AFB">
        <w:rPr>
          <w:rFonts w:ascii="Calibri" w:hAnsi="Calibri" w:cs="Calibri"/>
        </w:rPr>
        <w:t>a</w:t>
      </w:r>
      <w:r w:rsidR="00D25AFB" w:rsidRPr="00491316">
        <w:rPr>
          <w:rFonts w:ascii="Calibri" w:hAnsi="Calibri" w:cs="Calibri"/>
        </w:rPr>
        <w:t>, monitorowani</w:t>
      </w:r>
      <w:r w:rsidR="00D25AFB">
        <w:rPr>
          <w:rFonts w:ascii="Calibri" w:hAnsi="Calibri" w:cs="Calibri"/>
        </w:rPr>
        <w:t>a</w:t>
      </w:r>
      <w:r w:rsidR="00D25AFB" w:rsidRPr="00491316">
        <w:rPr>
          <w:rFonts w:ascii="Calibri" w:hAnsi="Calibri" w:cs="Calibri"/>
        </w:rPr>
        <w:t xml:space="preserve"> oraz kontrol</w:t>
      </w:r>
      <w:r w:rsidR="00D25AFB">
        <w:rPr>
          <w:rFonts w:ascii="Calibri" w:hAnsi="Calibri" w:cs="Calibri"/>
        </w:rPr>
        <w:t>i</w:t>
      </w:r>
      <w:r w:rsidR="00D25AFB" w:rsidRPr="00491316">
        <w:rPr>
          <w:rFonts w:ascii="Calibri" w:hAnsi="Calibri" w:cs="Calibri"/>
        </w:rPr>
        <w:t xml:space="preserve"> projektów realizowanych przez beneficjentów</w:t>
      </w:r>
      <w:bookmarkEnd w:id="1"/>
      <w:r w:rsidR="00D25AFB">
        <w:rPr>
          <w:rFonts w:ascii="Calibri" w:hAnsi="Calibri" w:cs="Calibri"/>
        </w:rPr>
        <w:t xml:space="preserve">. </w:t>
      </w:r>
      <w:r w:rsidR="00AB4931">
        <w:rPr>
          <w:rFonts w:ascii="Calibri" w:hAnsi="Calibri" w:cs="Calibri"/>
        </w:rPr>
        <w:t>Kontrolerzy zarzucają brak rzetelności, zgodności z prawem, celowości i gospodarności działań podejmowanych w NIW</w:t>
      </w:r>
      <w:r w:rsidR="00AB4931" w:rsidRPr="00AB4931">
        <w:rPr>
          <w:rFonts w:ascii="Calibri" w:hAnsi="Calibri" w:cs="Calibri"/>
        </w:rPr>
        <w:t xml:space="preserve"> </w:t>
      </w:r>
      <w:r w:rsidR="00AB4931" w:rsidRPr="00491316">
        <w:rPr>
          <w:rFonts w:ascii="Calibri" w:hAnsi="Calibri" w:cs="Calibri"/>
        </w:rPr>
        <w:t>w okresie objętym kontrolą</w:t>
      </w:r>
      <w:r w:rsidR="00AB4931">
        <w:rPr>
          <w:rFonts w:ascii="Calibri" w:hAnsi="Calibri" w:cs="Calibri"/>
        </w:rPr>
        <w:t xml:space="preserve">, w którym kierowaliśmy Narodowym Instytutem Wolności. </w:t>
      </w:r>
      <w:r w:rsidR="00D25AFB" w:rsidRPr="00837A36">
        <w:rPr>
          <w:rFonts w:cstheme="minorHAnsi"/>
        </w:rPr>
        <w:t xml:space="preserve">W naszej </w:t>
      </w:r>
      <w:r w:rsidRPr="00837A36">
        <w:rPr>
          <w:rFonts w:cstheme="minorHAnsi"/>
        </w:rPr>
        <w:t>ocen</w:t>
      </w:r>
      <w:r w:rsidR="00D25AFB" w:rsidRPr="00837A36">
        <w:rPr>
          <w:rFonts w:cstheme="minorHAnsi"/>
        </w:rPr>
        <w:t>ie</w:t>
      </w:r>
      <w:r w:rsidRPr="00837A36">
        <w:rPr>
          <w:rFonts w:cstheme="minorHAnsi"/>
        </w:rPr>
        <w:t xml:space="preserve">, </w:t>
      </w:r>
      <w:r w:rsidR="00837A36" w:rsidRPr="00837A36">
        <w:rPr>
          <w:rFonts w:cstheme="minorHAnsi"/>
          <w:b/>
        </w:rPr>
        <w:t>Wystąpienie pokontrolne</w:t>
      </w:r>
      <w:r w:rsidRPr="00837A36">
        <w:rPr>
          <w:rFonts w:cstheme="minorHAnsi"/>
          <w:b/>
        </w:rPr>
        <w:t xml:space="preserve"> nie</w:t>
      </w:r>
      <w:r w:rsidR="00837A36" w:rsidRPr="00837A36">
        <w:rPr>
          <w:rFonts w:cstheme="minorHAnsi"/>
          <w:b/>
        </w:rPr>
        <w:t xml:space="preserve"> </w:t>
      </w:r>
      <w:r w:rsidRPr="00837A36">
        <w:rPr>
          <w:rFonts w:cstheme="minorHAnsi"/>
          <w:b/>
        </w:rPr>
        <w:t>uwzględnia</w:t>
      </w:r>
      <w:r w:rsidR="00837A36" w:rsidRPr="00837A36">
        <w:rPr>
          <w:rFonts w:cstheme="minorHAnsi"/>
          <w:b/>
        </w:rPr>
        <w:t xml:space="preserve"> wielu</w:t>
      </w:r>
      <w:r w:rsidRPr="00837A36">
        <w:rPr>
          <w:rFonts w:cstheme="minorHAnsi"/>
          <w:b/>
        </w:rPr>
        <w:t xml:space="preserve"> </w:t>
      </w:r>
      <w:r w:rsidR="00D25AFB" w:rsidRPr="00837A36">
        <w:rPr>
          <w:rFonts w:cstheme="minorHAnsi"/>
          <w:b/>
        </w:rPr>
        <w:t xml:space="preserve">faktów i okoliczności, </w:t>
      </w:r>
      <w:r w:rsidR="00D25AFB" w:rsidRPr="00837A36">
        <w:rPr>
          <w:rFonts w:cstheme="minorHAnsi"/>
        </w:rPr>
        <w:t xml:space="preserve">które były szeroko przedstawiane kontrolerom podczas trwającego 11 miesięcy postępowania, </w:t>
      </w:r>
      <w:r w:rsidRPr="00837A36">
        <w:rPr>
          <w:rFonts w:cstheme="minorHAnsi"/>
          <w:b/>
        </w:rPr>
        <w:t>nie</w:t>
      </w:r>
      <w:r w:rsidR="00837A36" w:rsidRPr="00837A36">
        <w:rPr>
          <w:rFonts w:cstheme="minorHAnsi"/>
          <w:b/>
        </w:rPr>
        <w:t xml:space="preserve"> </w:t>
      </w:r>
      <w:r w:rsidRPr="00837A36">
        <w:rPr>
          <w:rFonts w:cstheme="minorHAnsi"/>
          <w:b/>
        </w:rPr>
        <w:t xml:space="preserve">uwzględnia wprowadzonych </w:t>
      </w:r>
      <w:r w:rsidR="00AB4931" w:rsidRPr="00837A36">
        <w:rPr>
          <w:rFonts w:cstheme="minorHAnsi"/>
          <w:b/>
        </w:rPr>
        <w:t xml:space="preserve">w NIW </w:t>
      </w:r>
      <w:r w:rsidRPr="00837A36">
        <w:rPr>
          <w:rFonts w:cstheme="minorHAnsi"/>
          <w:b/>
        </w:rPr>
        <w:t xml:space="preserve">procedur </w:t>
      </w:r>
      <w:r w:rsidR="00AB4931" w:rsidRPr="00837A36">
        <w:rPr>
          <w:rFonts w:cstheme="minorHAnsi"/>
        </w:rPr>
        <w:t>wynikających wprost z ustawy o Narodowym Instytucie Wolności, ustawy o działalności pożytku publicznego i o wolontariacie oraz przepisów wykonawczych</w:t>
      </w:r>
      <w:r w:rsidR="00837A36" w:rsidRPr="00837A36">
        <w:rPr>
          <w:rFonts w:cstheme="minorHAnsi"/>
        </w:rPr>
        <w:t xml:space="preserve">, </w:t>
      </w:r>
      <w:r w:rsidR="00837A36" w:rsidRPr="00837A36">
        <w:rPr>
          <w:rFonts w:cstheme="minorHAnsi"/>
          <w:b/>
        </w:rPr>
        <w:t xml:space="preserve">nie wskazuje uchybień w realizacji procedur konkursowych, które byłyby skutkiem naruszenia prawa ani sformułowanych w sposób uzasadniony zasad rzetelności, celowości i gospodarności. </w:t>
      </w:r>
    </w:p>
    <w:p w14:paraId="34147775" w14:textId="6BE1D092" w:rsidR="00846D03" w:rsidRDefault="0034544C" w:rsidP="00AB4931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Narodowy Instytut Wolności w ciągu ponad sześciu lat funkcjonowania w ramach dziesięciu rządowych programów wspierania rozwoju społeczeństwa obywatelskiego przekazał 6,5 tysiąca organizacjom pozarządowym 1,2 mld zł. Każda złotówka trafiła do NGO w wyniku sformułowanych w sposób </w:t>
      </w:r>
      <w:r w:rsidRPr="00316C0D">
        <w:rPr>
          <w:rFonts w:ascii="Calibri" w:hAnsi="Calibri" w:cs="Calibri"/>
          <w:b/>
        </w:rPr>
        <w:t>profesjonalny, rzetelny i transparentny procedur opisanych w regulaminach</w:t>
      </w:r>
      <w:r>
        <w:rPr>
          <w:rFonts w:ascii="Calibri" w:hAnsi="Calibri" w:cs="Calibri"/>
        </w:rPr>
        <w:t xml:space="preserve"> otwartych konkursów. Zgodnie z ustawą o NIW </w:t>
      </w:r>
      <w:r w:rsidR="00973F38">
        <w:rPr>
          <w:rFonts w:ascii="Calibri" w:hAnsi="Calibri" w:cs="Calibri"/>
        </w:rPr>
        <w:t xml:space="preserve">w przypadku każdego konkursu </w:t>
      </w:r>
      <w:r>
        <w:rPr>
          <w:rFonts w:ascii="Calibri" w:hAnsi="Calibri" w:cs="Calibri"/>
        </w:rPr>
        <w:t>projekt regulaminu</w:t>
      </w:r>
      <w:r w:rsidR="00973F38">
        <w:rPr>
          <w:rFonts w:ascii="Calibri" w:hAnsi="Calibri" w:cs="Calibri"/>
        </w:rPr>
        <w:t>, którego niezbędne elementy określa ustawa,</w:t>
      </w:r>
      <w:r>
        <w:rPr>
          <w:rFonts w:ascii="Calibri" w:hAnsi="Calibri" w:cs="Calibri"/>
        </w:rPr>
        <w:t xml:space="preserve"> przygotowywał dyrektor</w:t>
      </w:r>
      <w:r w:rsidR="00973F38">
        <w:rPr>
          <w:rFonts w:ascii="Calibri" w:hAnsi="Calibri" w:cs="Calibri"/>
        </w:rPr>
        <w:t xml:space="preserve"> i zatwierdzała Rada NIW. </w:t>
      </w:r>
      <w:r w:rsidR="00973F38" w:rsidRPr="00973F38">
        <w:rPr>
          <w:rFonts w:ascii="Calibri" w:hAnsi="Calibri" w:cs="Calibri"/>
          <w:b/>
        </w:rPr>
        <w:t xml:space="preserve">Zarzuty nielegalności działania w oparciu o regulamin, którego treść wynika z ustawy są całkowicie </w:t>
      </w:r>
      <w:r w:rsidR="00676177" w:rsidRPr="00215FBB">
        <w:rPr>
          <w:rFonts w:ascii="Calibri" w:hAnsi="Calibri" w:cs="Calibri"/>
          <w:b/>
        </w:rPr>
        <w:t>bezpodstawne</w:t>
      </w:r>
      <w:r w:rsidR="00973F38" w:rsidRPr="00973F38">
        <w:rPr>
          <w:rFonts w:ascii="Calibri" w:hAnsi="Calibri" w:cs="Calibri"/>
          <w:b/>
        </w:rPr>
        <w:t xml:space="preserve"> i nieprawdziwe.</w:t>
      </w:r>
      <w:r w:rsidR="00973F38">
        <w:rPr>
          <w:rFonts w:ascii="Calibri" w:hAnsi="Calibri" w:cs="Calibri"/>
        </w:rPr>
        <w:t xml:space="preserve"> Ponadto, regulamin tworzony był w wieloetapowym procesie, na który składały się prace studialne w Instytucie, wstępna dyskusja w Radzie NIW, wielowątkowe konsultacje społeczne zakończone raportem z konsultacji publikowanym na stronie NIW, opiniowanie przez Radę Działalności Pożytku Publicznego i na koniec uchwała Rady NIW, która zgodnie z ustawą jest organem uprawnionym do zatwierdzania regulaminów konkursów. W ramach prac studialnych w NIW poddawaliśmy analizie </w:t>
      </w:r>
      <w:r w:rsidR="00E837BC">
        <w:rPr>
          <w:rFonts w:ascii="Calibri" w:hAnsi="Calibri" w:cs="Calibri"/>
        </w:rPr>
        <w:t xml:space="preserve">m.in. wpływ zapisów regulaminowych na realizację celów, jakie zostały zdefiniowane w dokumentach programowych przyjmowanych w formie uchwały przez rząd. Każda uwaga zgłoszona w konsultacjach oraz w opinii RDPP była następnie szczegółowo analizowana w NIW, a wyniki tej analizy prezentowane były przez dyrektora NIW Radzie Instytutu. </w:t>
      </w:r>
      <w:r w:rsidR="00E837BC" w:rsidRPr="00E837BC">
        <w:rPr>
          <w:rFonts w:ascii="Calibri" w:hAnsi="Calibri" w:cs="Calibri"/>
          <w:b/>
        </w:rPr>
        <w:t xml:space="preserve">W takiej sytuacji trudno zarzucić brak transparentności </w:t>
      </w:r>
      <w:r w:rsidR="00676177" w:rsidRPr="00215FBB">
        <w:rPr>
          <w:rFonts w:ascii="Calibri" w:hAnsi="Calibri" w:cs="Calibri"/>
          <w:b/>
        </w:rPr>
        <w:t>tak rozbudowanych</w:t>
      </w:r>
      <w:r w:rsidR="00676177">
        <w:rPr>
          <w:rFonts w:ascii="Calibri" w:hAnsi="Calibri" w:cs="Calibri"/>
          <w:b/>
        </w:rPr>
        <w:t xml:space="preserve"> </w:t>
      </w:r>
      <w:r w:rsidR="00E837BC" w:rsidRPr="00E837BC">
        <w:rPr>
          <w:rFonts w:ascii="Calibri" w:hAnsi="Calibri" w:cs="Calibri"/>
          <w:b/>
        </w:rPr>
        <w:t xml:space="preserve">procedur konkursowych. </w:t>
      </w:r>
    </w:p>
    <w:p w14:paraId="200188A6" w14:textId="77777777" w:rsidR="008D212A" w:rsidRDefault="00E837BC" w:rsidP="00AB4931">
      <w:pPr>
        <w:spacing w:after="120" w:line="276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</w:rPr>
        <w:t xml:space="preserve">W debacie publicznej </w:t>
      </w:r>
      <w:r w:rsidR="00846D03">
        <w:rPr>
          <w:rFonts w:ascii="Calibri" w:hAnsi="Calibri" w:cs="Calibri"/>
        </w:rPr>
        <w:t xml:space="preserve">jakość dokumentacji konkursowej, a także warstwa komunikacyjna, w tym: </w:t>
      </w:r>
      <w:r w:rsidR="00846D03" w:rsidRPr="0084695F">
        <w:rPr>
          <w:rFonts w:cstheme="minorHAnsi"/>
          <w:color w:val="222222"/>
          <w:shd w:val="clear" w:color="auto" w:fill="FFFFFF"/>
        </w:rPr>
        <w:t xml:space="preserve">materiały pomocnicze, kontakt z pracownikami, webinaria, generator, wizualizacje </w:t>
      </w:r>
      <w:r w:rsidR="00846D03">
        <w:rPr>
          <w:rFonts w:cstheme="minorHAnsi"/>
          <w:color w:val="222222"/>
          <w:shd w:val="clear" w:color="auto" w:fill="FFFFFF"/>
        </w:rPr>
        <w:t>oceniane były jako</w:t>
      </w:r>
      <w:r w:rsidR="00846D03" w:rsidRPr="0084695F">
        <w:rPr>
          <w:rFonts w:cstheme="minorHAnsi"/>
          <w:color w:val="222222"/>
          <w:shd w:val="clear" w:color="auto" w:fill="FFFFFF"/>
        </w:rPr>
        <w:t xml:space="preserve"> </w:t>
      </w:r>
      <w:r w:rsidR="00846D03">
        <w:rPr>
          <w:rFonts w:cstheme="minorHAnsi"/>
          <w:color w:val="222222"/>
          <w:shd w:val="clear" w:color="auto" w:fill="FFFFFF"/>
        </w:rPr>
        <w:lastRenderedPageBreak/>
        <w:t>„</w:t>
      </w:r>
      <w:r w:rsidR="00846D03" w:rsidRPr="0084695F">
        <w:rPr>
          <w:rFonts w:cstheme="minorHAnsi"/>
          <w:color w:val="222222"/>
          <w:shd w:val="clear" w:color="auto" w:fill="FFFFFF"/>
        </w:rPr>
        <w:t>jedne z lepszych centralnie zarządzanych programów dedykowanych organizacjom pozarządowym</w:t>
      </w:r>
      <w:r w:rsidR="00846D03">
        <w:rPr>
          <w:rFonts w:cstheme="minorHAnsi"/>
          <w:color w:val="222222"/>
          <w:shd w:val="clear" w:color="auto" w:fill="FFFFFF"/>
        </w:rPr>
        <w:t xml:space="preserve">” – taką opinię sformułował w sierpniu 2023 r. na </w:t>
      </w:r>
      <w:hyperlink r:id="rId5" w:history="1">
        <w:r w:rsidR="00846D03" w:rsidRPr="003C0047">
          <w:rPr>
            <w:rStyle w:val="Hipercze"/>
            <w:rFonts w:cstheme="minorHAnsi"/>
            <w:shd w:val="clear" w:color="auto" w:fill="FFFFFF"/>
          </w:rPr>
          <w:t>portalu ngo.pl Łukasz Gorczyński z OFOP</w:t>
        </w:r>
      </w:hyperlink>
      <w:r w:rsidR="000C0888">
        <w:rPr>
          <w:rStyle w:val="Hipercze"/>
          <w:rFonts w:cstheme="minorHAnsi"/>
          <w:shd w:val="clear" w:color="auto" w:fill="FFFFFF"/>
        </w:rPr>
        <w:t xml:space="preserve"> (obecnie członek Rady NIW III kadencji)</w:t>
      </w:r>
      <w:r w:rsidR="00846D03">
        <w:rPr>
          <w:rFonts w:cstheme="minorHAnsi"/>
          <w:color w:val="222222"/>
          <w:shd w:val="clear" w:color="auto" w:fill="FFFFFF"/>
        </w:rPr>
        <w:t xml:space="preserve">. Podobnie pozytywną opinię o programach zarządzanych przez NIW sformułowała Katarzyna Sadło w raporcie </w:t>
      </w:r>
      <w:r w:rsidR="00846D03" w:rsidRPr="00D72CE9">
        <w:rPr>
          <w:rFonts w:ascii="Calibri" w:hAnsi="Calibri" w:cs="Calibri"/>
          <w:color w:val="222222"/>
          <w:shd w:val="clear" w:color="auto" w:fill="FFFFFF"/>
        </w:rPr>
        <w:t xml:space="preserve">Klubu Jagiellońskiego </w:t>
      </w:r>
      <w:hyperlink r:id="rId6" w:history="1">
        <w:r w:rsidR="00846D03" w:rsidRPr="00427EBC">
          <w:rPr>
            <w:rStyle w:val="Hipercze"/>
            <w:rFonts w:ascii="Calibri" w:hAnsi="Calibri" w:cs="Calibri"/>
            <w:shd w:val="clear" w:color="auto" w:fill="FFFFFF"/>
          </w:rPr>
          <w:t>„Rząd pod lupą. Ranking polityk publicznych 2019-2023”.</w:t>
        </w:r>
      </w:hyperlink>
      <w:r w:rsidR="00846D03">
        <w:rPr>
          <w:rFonts w:ascii="Calibri" w:hAnsi="Calibri" w:cs="Calibri"/>
          <w:color w:val="222222"/>
          <w:shd w:val="clear" w:color="auto" w:fill="FFFFFF"/>
        </w:rPr>
        <w:t xml:space="preserve"> Bartłomiej Włodkowski, wieloletni członek Warszawskiej i Mazowieckiej RDPP na ng</w:t>
      </w:r>
      <w:r w:rsidR="003C0047">
        <w:rPr>
          <w:rFonts w:ascii="Calibri" w:hAnsi="Calibri" w:cs="Calibri"/>
          <w:color w:val="222222"/>
          <w:shd w:val="clear" w:color="auto" w:fill="FFFFFF"/>
        </w:rPr>
        <w:t>o.pl dostrzegł we wrześniu ub. r</w:t>
      </w:r>
      <w:r w:rsidR="00846D03">
        <w:rPr>
          <w:rFonts w:ascii="Calibri" w:hAnsi="Calibri" w:cs="Calibri"/>
          <w:color w:val="222222"/>
          <w:shd w:val="clear" w:color="auto" w:fill="FFFFFF"/>
        </w:rPr>
        <w:t>. coraz bardziej skuteczną politykę państwa wspierającego rozwój trzeciego sektora</w:t>
      </w:r>
      <w:r w:rsidR="00846D03" w:rsidRPr="00506953">
        <w:rPr>
          <w:rFonts w:ascii="Calibri" w:hAnsi="Calibri" w:cs="Calibri"/>
          <w:color w:val="222222"/>
          <w:shd w:val="clear" w:color="auto" w:fill="FFFFFF"/>
        </w:rPr>
        <w:t xml:space="preserve">: </w:t>
      </w:r>
      <w:r w:rsidR="00846D03">
        <w:rPr>
          <w:rFonts w:ascii="Calibri" w:hAnsi="Calibri" w:cs="Calibri"/>
          <w:color w:val="222222"/>
          <w:shd w:val="clear" w:color="auto" w:fill="FFFFFF"/>
        </w:rPr>
        <w:t>„…</w:t>
      </w:r>
      <w:r w:rsidR="00846D03" w:rsidRPr="00506953">
        <w:rPr>
          <w:rFonts w:ascii="Calibri" w:hAnsi="Calibri" w:cs="Calibri"/>
          <w:color w:val="222222"/>
          <w:shd w:val="clear" w:color="auto" w:fill="FFFFFF"/>
        </w:rPr>
        <w:t xml:space="preserve">coraz częściej na stronach internetowych bardzo wielu organizacji, reprezentujących bardzo różne światopoglądy – od prawa do lewa – pojawiają się </w:t>
      </w:r>
      <w:proofErr w:type="spellStart"/>
      <w:r w:rsidR="00846D03" w:rsidRPr="00506953">
        <w:rPr>
          <w:rFonts w:ascii="Calibri" w:hAnsi="Calibri" w:cs="Calibri"/>
          <w:color w:val="222222"/>
          <w:shd w:val="clear" w:color="auto" w:fill="FFFFFF"/>
        </w:rPr>
        <w:t>loga</w:t>
      </w:r>
      <w:proofErr w:type="spellEnd"/>
      <w:r w:rsidR="00846D03" w:rsidRPr="00506953">
        <w:rPr>
          <w:rFonts w:ascii="Calibri" w:hAnsi="Calibri" w:cs="Calibri"/>
          <w:color w:val="222222"/>
          <w:shd w:val="clear" w:color="auto" w:fill="FFFFFF"/>
        </w:rPr>
        <w:t xml:space="preserve"> NIW</w:t>
      </w:r>
      <w:r w:rsidR="00676177">
        <w:rPr>
          <w:rFonts w:ascii="Calibri" w:hAnsi="Calibri" w:cs="Calibri"/>
          <w:color w:val="222222"/>
          <w:shd w:val="clear" w:color="auto" w:fill="FFFFFF"/>
        </w:rPr>
        <w:t>”</w:t>
      </w:r>
      <w:r w:rsidR="00846D03" w:rsidRPr="00506953">
        <w:rPr>
          <w:rFonts w:ascii="Calibri" w:hAnsi="Calibri" w:cs="Calibri"/>
          <w:color w:val="222222"/>
          <w:shd w:val="clear" w:color="auto" w:fill="FFFFFF"/>
        </w:rPr>
        <w:t>.</w:t>
      </w:r>
      <w:r w:rsidR="00846D03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3B3E4C">
        <w:rPr>
          <w:rFonts w:ascii="Calibri" w:hAnsi="Calibri" w:cs="Calibri"/>
          <w:color w:val="222222"/>
          <w:shd w:val="clear" w:color="auto" w:fill="FFFFFF"/>
        </w:rPr>
        <w:t xml:space="preserve">Osoby te i środowiska, które reprezentują trudno uznać za bezkrytycznych apologetów NIW w latach 2018-2023. </w:t>
      </w:r>
    </w:p>
    <w:p w14:paraId="1037A178" w14:textId="6BF82256" w:rsidR="003B3E4C" w:rsidRDefault="003B3E4C" w:rsidP="00AB4931">
      <w:pPr>
        <w:spacing w:after="120" w:line="276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 w:rsidRPr="00E53F87">
        <w:rPr>
          <w:rFonts w:ascii="Calibri" w:hAnsi="Calibri" w:cs="Calibri"/>
          <w:b/>
          <w:color w:val="222222"/>
          <w:shd w:val="clear" w:color="auto" w:fill="FFFFFF"/>
        </w:rPr>
        <w:t>Gdy przyjrzeć się skali dofinansowania NGO przez NIW, wielości i różnorodności wspartych inicjatyw oraz geograficznemu i społecznemu przekrojowi organizacji, do których trafiały środki, zarzut niecelowego kierowania funduszy publicznych do wąskiej grupy organizacji nosi znamiona politycznej insynuacji.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8D212A" w:rsidRPr="00215FBB">
        <w:t>Z perspektywy nadrzędnego celu NIW jakim jest wspieranie rozwoju trzeciego sektora istotne jest to, jakie zadania beneficjenci realizują w ramach programów, a nie to, kto jest z nimi osobiście lub pośrednio kojarzony. Są to ludzie z różnych środowisk, a wśród nich także osoby związane z obecnie piastującymi wysokie stanowiska urzędnikami, co nie powinno mieć żadnego wpływu na decyzje o dofinansowaniu, ani zamykać do niego drogi w przyszłych konkursach. Takie stygmatyzowanie organizacji pozarządowych jest krzywdzące i jedynie wzmacnia polaryzację i działa destrukcyjnie na społeczeństwo obywatelskie!</w:t>
      </w:r>
      <w:r w:rsidR="00E53F87">
        <w:rPr>
          <w:rFonts w:ascii="Calibri" w:hAnsi="Calibri" w:cs="Calibri"/>
          <w:color w:val="222222"/>
          <w:shd w:val="clear" w:color="auto" w:fill="FFFFFF"/>
        </w:rPr>
        <w:t xml:space="preserve"> </w:t>
      </w:r>
    </w:p>
    <w:p w14:paraId="413A2387" w14:textId="5765AE43" w:rsidR="00E00163" w:rsidRPr="00A83438" w:rsidRDefault="00E53F87" w:rsidP="00E00163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W regulaminach konkursów realizowanych w NIW precyzyjnie została określone ścieżka wyboru projektów, które trafiały do dofinansowania. Maksymalnie uproszczone zostały procedury formalne. Spełnia je każda legalnie działająca w Polsce organizacja pozarządowa, która w terminie określonym w ogłoszeniu o naborze złożyła ofertę w generatorze wniosków. Oceny merytorycznej dokonują zewnętrzni, niezależni od NIW eksperci, którzy mają co najmniej 3-letnie doświadczenie działalności w trzecim sektorze. Ocena merytoryczna dokonywana jest na podstawie kryteriów określonych w ustawie. Kryteria te zostały zdefiniowane </w:t>
      </w:r>
      <w:r w:rsidR="00E00163" w:rsidRPr="00491316">
        <w:rPr>
          <w:rFonts w:ascii="Calibri" w:eastAsia="Times New Roman" w:hAnsi="Calibri" w:cs="Calibri"/>
        </w:rPr>
        <w:t>poprzez ich treść i cel oraz zasady oceny</w:t>
      </w:r>
      <w:r w:rsidR="00E00163">
        <w:rPr>
          <w:rFonts w:ascii="Calibri" w:eastAsia="Times New Roman" w:hAnsi="Calibri" w:cs="Calibri"/>
        </w:rPr>
        <w:t>. P</w:t>
      </w:r>
      <w:r w:rsidR="00E00163" w:rsidRPr="00491316">
        <w:rPr>
          <w:rFonts w:ascii="Calibri" w:eastAsia="Times New Roman" w:hAnsi="Calibri" w:cs="Calibri"/>
        </w:rPr>
        <w:t xml:space="preserve">oruszając się ściśle w ustawowych ramach, </w:t>
      </w:r>
      <w:r w:rsidR="00E00163" w:rsidRPr="00A72AB0">
        <w:rPr>
          <w:rFonts w:ascii="Calibri" w:eastAsia="Times New Roman" w:hAnsi="Calibri" w:cs="Calibri"/>
          <w:b/>
        </w:rPr>
        <w:t>NIW uporządkował ustawowe kryteria, wskazał, które z nich są kryteriami formalnymi, a które merytorycznymi, które mają charakter ogólny, które bardziej szczegółowy, a które z punktu widzenia wagi mają charakter strategiczny – ważny w związku z zapewnieniem celów ustawowych zawartych w art. 30 ust. 4 ustawy</w:t>
      </w:r>
      <w:r w:rsidR="00E37158">
        <w:rPr>
          <w:rFonts w:ascii="Calibri" w:eastAsia="Times New Roman" w:hAnsi="Calibri" w:cs="Calibri"/>
          <w:b/>
        </w:rPr>
        <w:t xml:space="preserve"> o NIW</w:t>
      </w:r>
      <w:r w:rsidR="00E00163" w:rsidRPr="00A72AB0">
        <w:rPr>
          <w:rFonts w:ascii="Calibri" w:eastAsia="Times New Roman" w:hAnsi="Calibri" w:cs="Calibri"/>
          <w:b/>
        </w:rPr>
        <w:t>.</w:t>
      </w:r>
      <w:r w:rsidR="00E00163" w:rsidRPr="00491316">
        <w:rPr>
          <w:rFonts w:ascii="Calibri" w:eastAsia="Times New Roman" w:hAnsi="Calibri" w:cs="Calibri"/>
        </w:rPr>
        <w:t xml:space="preserve"> </w:t>
      </w:r>
      <w:r w:rsidR="00E00163">
        <w:rPr>
          <w:rFonts w:ascii="Calibri" w:hAnsi="Calibri" w:cs="Calibri"/>
        </w:rPr>
        <w:t>O</w:t>
      </w:r>
      <w:r w:rsidR="00E00163" w:rsidRPr="00491316">
        <w:rPr>
          <w:rFonts w:ascii="Calibri" w:hAnsi="Calibri" w:cs="Calibri"/>
        </w:rPr>
        <w:t xml:space="preserve">gólna ocena pomysłu </w:t>
      </w:r>
      <w:r w:rsidR="00E00163">
        <w:rPr>
          <w:rFonts w:ascii="Calibri" w:hAnsi="Calibri" w:cs="Calibri"/>
        </w:rPr>
        <w:t xml:space="preserve">uznana za nielegalną przez NIK </w:t>
      </w:r>
      <w:r w:rsidR="00E00163" w:rsidRPr="00491316">
        <w:rPr>
          <w:rFonts w:ascii="Calibri" w:hAnsi="Calibri" w:cs="Calibri"/>
        </w:rPr>
        <w:t>–</w:t>
      </w:r>
      <w:r w:rsidR="00E00163">
        <w:rPr>
          <w:rFonts w:ascii="Calibri" w:hAnsi="Calibri" w:cs="Calibri"/>
        </w:rPr>
        <w:t xml:space="preserve"> </w:t>
      </w:r>
      <w:r w:rsidR="00E00163" w:rsidRPr="00491316">
        <w:rPr>
          <w:rFonts w:ascii="Calibri" w:hAnsi="Calibri" w:cs="Calibri"/>
        </w:rPr>
        <w:t>czyli całościowo oceniana idea projektu – jej potencjał wprowadzenia zmiany społecznej to nic innego niż kryteria, o których mowa w art. 30 ust. 4 pkt 1 oraz pkt 3 ustawy o NIW, tyle tylko, że oceniane w skali ogólnej (całościowo), bo cały czas odnoszące się do adekwatności oferty w odniesieniu do celów programu, jakości planu działań zawartych w ofercie i wpływu na uczestników, organizacje i inne podmioty. Nie ma w opisie tego kryterium żadnych innych elementów oceny niż te, które są wymienione w ustawie.</w:t>
      </w:r>
      <w:r w:rsidR="00E00163">
        <w:rPr>
          <w:rFonts w:ascii="Calibri" w:hAnsi="Calibri" w:cs="Calibri"/>
        </w:rPr>
        <w:t xml:space="preserve"> Upoważnienie natomiast do ustalenia szczegółowych zasad przyznawania dotacji w regulaminie konkursu znalazło się w art. </w:t>
      </w:r>
      <w:r w:rsidR="00E00163" w:rsidRPr="00491316">
        <w:rPr>
          <w:rFonts w:ascii="Calibri" w:hAnsi="Calibri" w:cs="Calibri"/>
        </w:rPr>
        <w:t>30 ust. 3 pkt 7 ustawy o NIW</w:t>
      </w:r>
      <w:r w:rsidR="00E00163">
        <w:rPr>
          <w:rFonts w:ascii="Calibri" w:hAnsi="Calibri" w:cs="Calibri"/>
        </w:rPr>
        <w:t xml:space="preserve">. </w:t>
      </w:r>
      <w:r w:rsidR="00E00163" w:rsidRPr="00A72AB0">
        <w:rPr>
          <w:rFonts w:ascii="Calibri" w:hAnsi="Calibri" w:cs="Calibri"/>
          <w:b/>
        </w:rPr>
        <w:t xml:space="preserve">Nie ma zatem mowy o nielegalnym działaniu NIW. </w:t>
      </w:r>
      <w:r w:rsidR="00E00163">
        <w:rPr>
          <w:rFonts w:ascii="Calibri" w:hAnsi="Calibri" w:cs="Calibri"/>
        </w:rPr>
        <w:t xml:space="preserve">Warto </w:t>
      </w:r>
      <w:r w:rsidR="003C0047">
        <w:rPr>
          <w:rFonts w:ascii="Calibri" w:hAnsi="Calibri" w:cs="Calibri"/>
        </w:rPr>
        <w:t xml:space="preserve">po raz kolejny </w:t>
      </w:r>
      <w:r w:rsidR="00E00163">
        <w:rPr>
          <w:rFonts w:ascii="Calibri" w:hAnsi="Calibri" w:cs="Calibri"/>
        </w:rPr>
        <w:t>przypomnieć, że zapisy regulaminowe nie były ustalane jednoosobowo przez dyrektora, ale poddawane szerokim konsultacjom i zatwierdzane przez Radę NIW</w:t>
      </w:r>
      <w:r w:rsidR="000C0888">
        <w:rPr>
          <w:rFonts w:ascii="Calibri" w:hAnsi="Calibri" w:cs="Calibri"/>
        </w:rPr>
        <w:t>,</w:t>
      </w:r>
      <w:r w:rsidR="003C0047">
        <w:rPr>
          <w:rFonts w:ascii="Calibri" w:hAnsi="Calibri" w:cs="Calibri"/>
        </w:rPr>
        <w:t xml:space="preserve"> co zostało szczegółowo opisane wyżej</w:t>
      </w:r>
      <w:r w:rsidR="00E00163">
        <w:rPr>
          <w:rFonts w:ascii="Calibri" w:hAnsi="Calibri" w:cs="Calibri"/>
        </w:rPr>
        <w:t xml:space="preserve">. Nikt w tym wieloetapowym procesie nie wskazał, aby zasady przyznawania dotacji w regulaminie konkursu mogły być nielegalne. </w:t>
      </w:r>
      <w:r w:rsidR="00A72AB0" w:rsidRPr="00A72AB0">
        <w:rPr>
          <w:rFonts w:ascii="Calibri" w:hAnsi="Calibri" w:cs="Calibri"/>
          <w:b/>
        </w:rPr>
        <w:t xml:space="preserve">NIK w kontrolach w latach 2019-2021 dotyczących realizacji programów rządowych nie zakwestionowała legalności </w:t>
      </w:r>
      <w:r w:rsidR="006C27F1" w:rsidRPr="00215FBB">
        <w:rPr>
          <w:rFonts w:ascii="Calibri" w:hAnsi="Calibri" w:cs="Calibri"/>
          <w:b/>
        </w:rPr>
        <w:t>tych samych</w:t>
      </w:r>
      <w:r w:rsidR="006C27F1">
        <w:rPr>
          <w:rFonts w:ascii="Calibri" w:hAnsi="Calibri" w:cs="Calibri"/>
          <w:b/>
        </w:rPr>
        <w:t xml:space="preserve"> </w:t>
      </w:r>
      <w:r w:rsidR="00A72AB0" w:rsidRPr="00A72AB0">
        <w:rPr>
          <w:rFonts w:ascii="Calibri" w:hAnsi="Calibri" w:cs="Calibri"/>
          <w:b/>
        </w:rPr>
        <w:t xml:space="preserve">zasad przyznawania dotacji w NIW, które obejmowały również tzw. ocenę ogólną pomysłu krytykowaną w obecnym Wystąpieniu pokontrolnym. </w:t>
      </w:r>
      <w:r w:rsidR="00A83438" w:rsidRPr="00A83438">
        <w:rPr>
          <w:rFonts w:ascii="Calibri" w:hAnsi="Calibri" w:cs="Calibri"/>
        </w:rPr>
        <w:t xml:space="preserve">Podobnie od 20 lat działają samorządy, które </w:t>
      </w:r>
      <w:r w:rsidR="00A83438" w:rsidRPr="00A83438">
        <w:rPr>
          <w:rFonts w:ascii="Calibri" w:hAnsi="Calibri" w:cs="Calibri"/>
        </w:rPr>
        <w:lastRenderedPageBreak/>
        <w:t xml:space="preserve">w oparciu </w:t>
      </w:r>
      <w:r w:rsidR="00A83438">
        <w:rPr>
          <w:rFonts w:ascii="Calibri" w:hAnsi="Calibri" w:cs="Calibri"/>
        </w:rPr>
        <w:t xml:space="preserve">o kryteria określone </w:t>
      </w:r>
      <w:r w:rsidR="00A83438" w:rsidRPr="00491316">
        <w:rPr>
          <w:rFonts w:ascii="Calibri" w:eastAsia="Times New Roman" w:hAnsi="Calibri" w:cs="Calibri"/>
        </w:rPr>
        <w:t>poprzez ich treść i cel oraz zasady oceny</w:t>
      </w:r>
      <w:r w:rsidR="00A83438">
        <w:rPr>
          <w:rFonts w:ascii="Calibri" w:hAnsi="Calibri" w:cs="Calibri"/>
        </w:rPr>
        <w:t xml:space="preserve"> w art. 15 ustawy o działalności pożytku publicznego i wolontariacie w Ogłoszeniu o konkursie definiują szczegółowy zestaw kryteriów formalnych, merytorycznych i niekiedy także strategicznych oceny ustalając w ten sposób zasady wyboru ofert. </w:t>
      </w:r>
    </w:p>
    <w:p w14:paraId="6E71CEF4" w14:textId="0914721C" w:rsidR="00E00163" w:rsidRDefault="00A72AB0" w:rsidP="00AB4931">
      <w:pPr>
        <w:spacing w:after="120" w:line="276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Ważnym elementem wyboru projektów do dofinansowania jest ocena ekspertów zewnętrznych. </w:t>
      </w:r>
      <w:r w:rsidR="00352D26" w:rsidRPr="00491316">
        <w:rPr>
          <w:rFonts w:ascii="Calibri" w:eastAsia="Times New Roman" w:hAnsi="Calibri" w:cs="Calibri"/>
        </w:rPr>
        <w:t xml:space="preserve">Każdy ekspert </w:t>
      </w:r>
      <w:r w:rsidR="00352D26">
        <w:rPr>
          <w:rFonts w:ascii="Calibri" w:eastAsia="Times New Roman" w:hAnsi="Calibri" w:cs="Calibri"/>
        </w:rPr>
        <w:t xml:space="preserve">od początku funkcjonowania NIW </w:t>
      </w:r>
      <w:r w:rsidR="00352D26" w:rsidRPr="00491316">
        <w:rPr>
          <w:rFonts w:ascii="Calibri" w:eastAsia="Times New Roman" w:hAnsi="Calibri" w:cs="Calibri"/>
        </w:rPr>
        <w:t xml:space="preserve">podpisując umowę na ocenę wniosków/ofert w ramach programów </w:t>
      </w:r>
      <w:r w:rsidR="00352D26">
        <w:rPr>
          <w:rFonts w:ascii="Calibri" w:eastAsia="Times New Roman" w:hAnsi="Calibri" w:cs="Calibri"/>
        </w:rPr>
        <w:t>składa</w:t>
      </w:r>
      <w:r w:rsidR="00352D26" w:rsidRPr="00491316">
        <w:rPr>
          <w:rFonts w:ascii="Calibri" w:eastAsia="Times New Roman" w:hAnsi="Calibri" w:cs="Calibri"/>
        </w:rPr>
        <w:t xml:space="preserve"> oświadczenie o bezstronności na podstawie którego zobowiązuje się, pod rygorem kary finansowej podjąć wszelkie działania konieczne do uniknięcia ryzyka konfliktu interesów mogącego powstać w związku z jego interesami gospodarczymi, powiązaniami politycznymi, związkami rodzinnymi, towarzyskimi lub emocjonalnymi lub innymi sytuacjami mającymi lub mogącymi mieć wpływ na bezstronne i obiektywne wykonanie umowy.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352D26">
        <w:rPr>
          <w:rFonts w:ascii="Calibri" w:hAnsi="Calibri" w:cs="Calibri"/>
          <w:color w:val="222222"/>
          <w:shd w:val="clear" w:color="auto" w:fill="FFFFFF"/>
        </w:rPr>
        <w:t xml:space="preserve">Okoliczności wskazujące na możliwość powstania przy ocenie konfliktu interesów zostały określone maksymalnie szeroko. Jednocześnie NIW kierując się zasadą zaufania pozostawił ocenę czy może zaistnieć konflikt interesów samym ekspertom. </w:t>
      </w:r>
      <w:r w:rsidR="00352D26" w:rsidRPr="00491316">
        <w:rPr>
          <w:rFonts w:ascii="Calibri" w:eastAsia="Times New Roman" w:hAnsi="Calibri" w:cs="Calibri"/>
        </w:rPr>
        <w:t>Każdy ekspert uzupełnia w swoim profilu, w Systemie Obsługi Dotacji, informacje o podmiotach, co do których może wystąpić w jego przypadku konflikt interesów. System nie ma możliwości przydziału ekspertowi do oceny oferty, podmiotu, który wskazał jako związany z nim potencjalnym konfliktem interesów.</w:t>
      </w:r>
      <w:r w:rsidR="00352D26">
        <w:rPr>
          <w:rFonts w:ascii="Calibri" w:eastAsia="Times New Roman" w:hAnsi="Calibri" w:cs="Calibri"/>
        </w:rPr>
        <w:t xml:space="preserve"> </w:t>
      </w:r>
      <w:r w:rsidR="006C27F1" w:rsidRPr="00215FBB">
        <w:rPr>
          <w:rFonts w:ascii="Calibri" w:eastAsia="Times New Roman" w:hAnsi="Calibri" w:cs="Calibri"/>
        </w:rPr>
        <w:t xml:space="preserve">Podobnie, </w:t>
      </w:r>
      <w:r w:rsidR="006C27F1" w:rsidRPr="00215FBB">
        <w:t>na etapie oceny, jeśli ekspert stwierdziłby konflikt interesów w przypadku oferty organizacji wcześniej przez siebie nie wskazanej to ma obowiązek zgodnie ze swoim oświadczeniem wyłączyć się z oceniania wniosku.</w:t>
      </w:r>
      <w:r w:rsidR="006C27F1">
        <w:rPr>
          <w:rFonts w:ascii="Calibri" w:eastAsia="Times New Roman" w:hAnsi="Calibri" w:cs="Calibri"/>
        </w:rPr>
        <w:t xml:space="preserve"> </w:t>
      </w:r>
      <w:r w:rsidR="00352D26">
        <w:rPr>
          <w:rFonts w:ascii="Calibri" w:eastAsia="Times New Roman" w:hAnsi="Calibri" w:cs="Calibri"/>
        </w:rPr>
        <w:t xml:space="preserve">W świetle powyższego </w:t>
      </w:r>
      <w:r w:rsidR="00352D26" w:rsidRPr="00352D26">
        <w:rPr>
          <w:rFonts w:ascii="Calibri" w:eastAsia="Times New Roman" w:hAnsi="Calibri" w:cs="Calibri"/>
          <w:b/>
        </w:rPr>
        <w:t>nie jest prawdą, że Dyrektor NIW nie opracował i nie wdrożył systemu zapewniającego uniknięcie ryzyka powstania konfliktu interesów, ponieważ w NIW istnieją opracowane i wdrożone mechanizmy mające na celu uniknięcie ryzyka powstania konfliktu interesów</w:t>
      </w:r>
      <w:r w:rsidR="00352D26" w:rsidRPr="00491316">
        <w:rPr>
          <w:rFonts w:ascii="Calibri" w:eastAsia="Times New Roman" w:hAnsi="Calibri" w:cs="Calibri"/>
        </w:rPr>
        <w:t>.</w:t>
      </w:r>
      <w:r w:rsidR="00352D26">
        <w:rPr>
          <w:rFonts w:ascii="Calibri" w:eastAsia="Times New Roman" w:hAnsi="Calibri" w:cs="Calibri"/>
        </w:rPr>
        <w:t xml:space="preserve"> NIK w Wystąpieniu </w:t>
      </w:r>
      <w:r w:rsidR="00C452AA">
        <w:rPr>
          <w:rFonts w:ascii="Calibri" w:eastAsia="Times New Roman" w:hAnsi="Calibri" w:cs="Calibri"/>
        </w:rPr>
        <w:t xml:space="preserve">pokontrolnym </w:t>
      </w:r>
      <w:r w:rsidR="00352D26">
        <w:rPr>
          <w:rFonts w:ascii="Calibri" w:eastAsia="Times New Roman" w:hAnsi="Calibri" w:cs="Calibri"/>
        </w:rPr>
        <w:t xml:space="preserve">krytykuje rzekomo występujące pojedyncze przypadki naruszenia przez ekspertów zasady bezstronności, ale dotyczą </w:t>
      </w:r>
      <w:r w:rsidR="00C452AA">
        <w:rPr>
          <w:rFonts w:ascii="Calibri" w:eastAsia="Times New Roman" w:hAnsi="Calibri" w:cs="Calibri"/>
        </w:rPr>
        <w:t xml:space="preserve">one </w:t>
      </w:r>
      <w:r w:rsidR="00352D26">
        <w:rPr>
          <w:rFonts w:ascii="Calibri" w:eastAsia="Times New Roman" w:hAnsi="Calibri" w:cs="Calibri"/>
        </w:rPr>
        <w:t xml:space="preserve">powiązań osobistych </w:t>
      </w:r>
      <w:r w:rsidR="00C452AA">
        <w:rPr>
          <w:rFonts w:ascii="Calibri" w:eastAsia="Times New Roman" w:hAnsi="Calibri" w:cs="Calibri"/>
        </w:rPr>
        <w:t xml:space="preserve">lub </w:t>
      </w:r>
      <w:r w:rsidR="00C452AA" w:rsidRPr="00491316">
        <w:rPr>
          <w:rFonts w:ascii="Calibri" w:eastAsia="Times New Roman" w:hAnsi="Calibri" w:cs="Calibri"/>
        </w:rPr>
        <w:t>nieformalnej współpracy pomiędzy fundacjami działającymi na terenie jednego miasta</w:t>
      </w:r>
      <w:r w:rsidR="00C452AA">
        <w:rPr>
          <w:rFonts w:ascii="Calibri" w:eastAsia="Times New Roman" w:hAnsi="Calibri" w:cs="Calibri"/>
        </w:rPr>
        <w:t xml:space="preserve">, które bez narzędzi śledczych nie są możliwe do ustalenia przez pracowników NIW. Tym bardziej jest to niemożliwe ze względu na skalę działalności NIW: co roku w ramach programów dokonywanych jest ponad 20 tysięcy ocen eksperckich. </w:t>
      </w:r>
    </w:p>
    <w:p w14:paraId="1F1D4979" w14:textId="25397AC4" w:rsidR="00973F38" w:rsidRDefault="00C452AA" w:rsidP="00AB4931">
      <w:pPr>
        <w:spacing w:after="120" w:line="276" w:lineRule="auto"/>
        <w:jc w:val="both"/>
        <w:rPr>
          <w:rFonts w:ascii="Calibri" w:hAnsi="Calibri" w:cs="Calibri"/>
        </w:rPr>
      </w:pPr>
      <w:r w:rsidRPr="00F40967">
        <w:rPr>
          <w:rFonts w:ascii="Calibri" w:hAnsi="Calibri" w:cs="Calibri"/>
          <w:b/>
        </w:rPr>
        <w:t>Ocena merytoryczna dokonywana przez ekspertów nie kończy procesu wyboru projektów</w:t>
      </w:r>
      <w:r>
        <w:rPr>
          <w:rFonts w:ascii="Calibri" w:hAnsi="Calibri" w:cs="Calibri"/>
        </w:rPr>
        <w:t xml:space="preserve"> dofinansowanych w ramach programów. Zwieńczeniem tego procesu jest decyzja komisji konkursowej albo panelu ekspertów – zależnie od programu – ustalająca listę projektów do dofinansowania, rezerwowych i ocenionych negatywnie</w:t>
      </w:r>
      <w:r w:rsidR="00053E7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53E7E" w:rsidRPr="00215FBB">
        <w:rPr>
          <w:rFonts w:ascii="Calibri" w:hAnsi="Calibri" w:cs="Calibri"/>
        </w:rPr>
        <w:t>a następnie</w:t>
      </w:r>
      <w:r>
        <w:rPr>
          <w:rFonts w:ascii="Calibri" w:hAnsi="Calibri" w:cs="Calibri"/>
        </w:rPr>
        <w:t xml:space="preserve"> decyzja dyrektora NIW zatwierdzająca powyższe listy. Taki schemat działania jest wprost określony w przepisach prawa (art. 15 ustawy o działalności pożytku publicznego)</w:t>
      </w:r>
      <w:r w:rsidR="00A83438">
        <w:rPr>
          <w:rFonts w:ascii="Calibri" w:hAnsi="Calibri" w:cs="Calibri"/>
        </w:rPr>
        <w:t xml:space="preserve"> i w związku z tym nie można zarzucić mu nielegalności. </w:t>
      </w:r>
      <w:r w:rsidR="00A83438" w:rsidRPr="00F40967">
        <w:rPr>
          <w:rFonts w:ascii="Calibri" w:hAnsi="Calibri" w:cs="Calibri"/>
          <w:b/>
        </w:rPr>
        <w:t>Komisja konkursowa (panel ekspertów) mając nieskrępowany dostęp do dokumentacji konkursowej może potwierdzić ocenę ekspertów albo ją zmienić.</w:t>
      </w:r>
      <w:r w:rsidR="00A83438">
        <w:rPr>
          <w:rFonts w:ascii="Calibri" w:hAnsi="Calibri" w:cs="Calibri"/>
        </w:rPr>
        <w:t xml:space="preserve"> </w:t>
      </w:r>
      <w:r w:rsidR="00C32491">
        <w:rPr>
          <w:rFonts w:ascii="Calibri" w:hAnsi="Calibri" w:cs="Calibri"/>
        </w:rPr>
        <w:t xml:space="preserve">Ostatecznie i tak organ administracji publicznej (dyrektor NIW) dokonuje oceny kierując się opinią komisji konkursowej, ale nie będąc nią związany. </w:t>
      </w:r>
      <w:r w:rsidR="00C32491" w:rsidRPr="00F40967">
        <w:rPr>
          <w:rFonts w:ascii="Calibri" w:hAnsi="Calibri" w:cs="Calibri"/>
          <w:b/>
        </w:rPr>
        <w:t xml:space="preserve">W Narodowym Instytucie Wolności w 98% </w:t>
      </w:r>
      <w:r w:rsidR="006C27F1" w:rsidRPr="00215FBB">
        <w:rPr>
          <w:rFonts w:ascii="Calibri" w:hAnsi="Calibri" w:cs="Calibri"/>
          <w:b/>
        </w:rPr>
        <w:t>przypadków</w:t>
      </w:r>
      <w:r w:rsidR="006C27F1">
        <w:rPr>
          <w:rFonts w:ascii="Calibri" w:hAnsi="Calibri" w:cs="Calibri"/>
          <w:b/>
        </w:rPr>
        <w:t xml:space="preserve"> </w:t>
      </w:r>
      <w:r w:rsidR="00C32491" w:rsidRPr="00F40967">
        <w:rPr>
          <w:rFonts w:ascii="Calibri" w:hAnsi="Calibri" w:cs="Calibri"/>
          <w:b/>
        </w:rPr>
        <w:t xml:space="preserve">komisje (panele) dokonywały oceny zbieżnej z pomocniczą oceną ekspertów zewnętrznych. </w:t>
      </w:r>
      <w:r w:rsidR="00C32491">
        <w:rPr>
          <w:rFonts w:ascii="Calibri" w:hAnsi="Calibri" w:cs="Calibri"/>
        </w:rPr>
        <w:t xml:space="preserve">Mając na uwadze transparentność procesu, udział w pracach komisji i paneli osób z zewnątrz Instytutu, </w:t>
      </w:r>
      <w:r w:rsidR="00C32491" w:rsidRPr="00215FBB">
        <w:rPr>
          <w:rFonts w:ascii="Calibri" w:hAnsi="Calibri" w:cs="Calibri"/>
          <w:b/>
        </w:rPr>
        <w:t>dyrektor NIW ani razu w latach 2018-2023 nie zakwestionował rozstrzygnięć komisji i paneli eksperckich</w:t>
      </w:r>
      <w:r w:rsidR="000C0888" w:rsidRPr="00215FBB">
        <w:rPr>
          <w:rFonts w:ascii="Calibri" w:hAnsi="Calibri" w:cs="Calibri"/>
          <w:b/>
        </w:rPr>
        <w:t>, pomimo przysługującego mu prawa</w:t>
      </w:r>
      <w:r w:rsidR="00C32491">
        <w:rPr>
          <w:rFonts w:ascii="Calibri" w:hAnsi="Calibri" w:cs="Calibri"/>
        </w:rPr>
        <w:t xml:space="preserve">. W naszej opinii takie działanie w najbardziej zobiektywizowany sposób, wolny od jednoosobowej decyzji urzędnika prowadziło do wyboru najlepszych projektów do dofinansowania. </w:t>
      </w:r>
      <w:r w:rsidR="00F40967">
        <w:rPr>
          <w:rFonts w:ascii="Calibri" w:hAnsi="Calibri" w:cs="Calibri"/>
        </w:rPr>
        <w:t xml:space="preserve">Warto dodać, że nikt z członków komisji i paneli ekspertów nie zgłosił do protokołu zastrzeżenia co do legalności, formalnej poprawności i celowości rozstrzygnięcia. Stanowisko NIK wyrażone w Wystąpieniu pokontrolnym jest </w:t>
      </w:r>
      <w:r w:rsidR="00F40967">
        <w:rPr>
          <w:rFonts w:ascii="Calibri" w:hAnsi="Calibri" w:cs="Calibri"/>
        </w:rPr>
        <w:lastRenderedPageBreak/>
        <w:t>zresztą ambiwalentne. W jednym miejscu NIK krytykuje przypadki decyzji komisji (paneli) odmiennej od oceny ekspertów, a w innym krytykuje dyrektora za to, że nie dokonał zmiany tej decyzji.</w:t>
      </w:r>
    </w:p>
    <w:p w14:paraId="419870E9" w14:textId="77777777" w:rsidR="00674939" w:rsidRDefault="00674939" w:rsidP="00AB4931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niektórych przypadkach NIK kwestionuje zasadność, w tym celowość przyznania dotacji określonym organizacjom. </w:t>
      </w:r>
      <w:r w:rsidRPr="00215FBB">
        <w:rPr>
          <w:rFonts w:ascii="Calibri" w:hAnsi="Calibri" w:cs="Calibri"/>
          <w:b/>
        </w:rPr>
        <w:t>Tym samym kontrolerzy NIK próbują zastąpić ocenę dokonaną przez zewnętrznych ekspertów własną.</w:t>
      </w:r>
      <w:r>
        <w:rPr>
          <w:rFonts w:ascii="Calibri" w:hAnsi="Calibri" w:cs="Calibri"/>
        </w:rPr>
        <w:t xml:space="preserve"> </w:t>
      </w:r>
      <w:r w:rsidRPr="00491316">
        <w:rPr>
          <w:rFonts w:ascii="Calibri" w:eastAsia="Times New Roman" w:hAnsi="Calibri" w:cs="Calibri"/>
        </w:rPr>
        <w:t>Do takiego działania NIK nie ma uprawnienia, a wskazanie ewentualnych uwag w tym zakresie może zostać uwzględnione w procesie szkolenia ekspertów w kolejnych edycjach konkursów realizowanych przez NIW. Ocena sporządzana przez ekspertów ze swej istoty zawsze ma charakter subiektywny</w:t>
      </w:r>
      <w:r>
        <w:rPr>
          <w:rFonts w:ascii="Calibri" w:eastAsia="Times New Roman" w:hAnsi="Calibri" w:cs="Calibri"/>
        </w:rPr>
        <w:t>.</w:t>
      </w:r>
      <w:r w:rsidRPr="00491316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J</w:t>
      </w:r>
      <w:r w:rsidRPr="00491316">
        <w:rPr>
          <w:rFonts w:ascii="Calibri" w:eastAsia="Times New Roman" w:hAnsi="Calibri" w:cs="Calibri"/>
        </w:rPr>
        <w:t>est to naturalne i oczywiste, że w przypadku subiektywnej oceny, w przypadku kryteriów odnoszących się do kwestii merytorycznych (kryteriów, które nie mają charakteru 0-1) będą występowały rozbieżności w opiniach ekspertów. Zarzuty NIK w istocie zatem kwestionują w ogóle zasady sporządzania ocen z udziałem ekspertów.</w:t>
      </w:r>
      <w:r>
        <w:rPr>
          <w:rFonts w:ascii="Calibri" w:eastAsia="Times New Roman" w:hAnsi="Calibri" w:cs="Calibri"/>
        </w:rPr>
        <w:t xml:space="preserve"> </w:t>
      </w:r>
      <w:r w:rsidRPr="00406C99">
        <w:rPr>
          <w:rFonts w:ascii="Calibri" w:eastAsia="Times New Roman" w:hAnsi="Calibri" w:cs="Calibri"/>
          <w:b/>
        </w:rPr>
        <w:t>Każda ocena niesie w sobie aspekt subiektywności uzależniony od podejścia do oceny poszczególnych ekspertów. Ten aspekt subiektywizmu niweluje się w systemie oceniania poprzez wprowadzenie obowiązku oceny wniosku przez dwóch ekspertów niezależnie od siebie.  W przypadku dużej różnicy w ocenie powołuje się trzeciego eksperta.</w:t>
      </w:r>
      <w:r>
        <w:rPr>
          <w:rFonts w:ascii="Calibri" w:eastAsia="Times New Roman" w:hAnsi="Calibri" w:cs="Calibri"/>
        </w:rPr>
        <w:t xml:space="preserve"> Do ostatecznej oceny uwzględnia się dwie najbliższe oceny spośród trzech. Takie zasady od lat obowiązują w wielu znanych powszechnie procedurach grantowych. </w:t>
      </w:r>
      <w:r w:rsidRPr="00406C99">
        <w:rPr>
          <w:rFonts w:cstheme="minorHAnsi"/>
          <w:bCs/>
        </w:rPr>
        <w:t>Tak samo postępuje Fundacja im. Batorego zarządzająca funduszami norweskimi dla NGO oraz Agencja Wykonawcza Komisji Europejskiej zarządzająca m.in. Programem Erasmus</w:t>
      </w:r>
      <w:r w:rsidR="00406C99" w:rsidRPr="00406C99">
        <w:rPr>
          <w:rFonts w:cstheme="minorHAnsi"/>
          <w:bCs/>
        </w:rPr>
        <w:t xml:space="preserve">. </w:t>
      </w:r>
      <w:r w:rsidRPr="00491316">
        <w:rPr>
          <w:rFonts w:ascii="Calibri" w:eastAsia="Times New Roman" w:hAnsi="Calibri" w:cs="Calibri"/>
        </w:rPr>
        <w:t xml:space="preserve">Opierając się na postanowieniach Regulaminu konkursu, a także dokumencie programowym należy stwierdzić, że ocena merytoryczna </w:t>
      </w:r>
      <w:r w:rsidR="000C0888">
        <w:rPr>
          <w:rFonts w:ascii="Calibri" w:eastAsia="Times New Roman" w:hAnsi="Calibri" w:cs="Calibri"/>
        </w:rPr>
        <w:t xml:space="preserve">(zawsze wniosku, a nie organizacji) </w:t>
      </w:r>
      <w:r w:rsidRPr="00491316">
        <w:rPr>
          <w:rFonts w:ascii="Calibri" w:eastAsia="Times New Roman" w:hAnsi="Calibri" w:cs="Calibri"/>
        </w:rPr>
        <w:t>dokonywana przez ekspertów może być podważona wyłącznie gdyby ekspert stwierdził w uzasadnieniu nieprawdę. Jednocześnie odpowiedzialność w takim przypadku spoczywa wyłącznie na ekspercie.</w:t>
      </w:r>
    </w:p>
    <w:p w14:paraId="10307F34" w14:textId="0088A314" w:rsidR="00F40967" w:rsidRDefault="00406C99" w:rsidP="00AB4931">
      <w:pPr>
        <w:spacing w:after="120" w:line="276" w:lineRule="auto"/>
        <w:jc w:val="both"/>
        <w:rPr>
          <w:rFonts w:ascii="Calibri" w:hAnsi="Calibri" w:cs="Calibri"/>
        </w:rPr>
      </w:pPr>
      <w:r w:rsidRPr="00491316">
        <w:rPr>
          <w:rFonts w:ascii="Calibri" w:eastAsia="Times New Roman" w:hAnsi="Calibri" w:cs="Calibri"/>
          <w:bCs/>
        </w:rPr>
        <w:t xml:space="preserve">Zdaniem NIK, </w:t>
      </w:r>
      <w:r>
        <w:rPr>
          <w:rFonts w:ascii="Calibri" w:eastAsia="Times New Roman" w:hAnsi="Calibri" w:cs="Calibri"/>
          <w:bCs/>
        </w:rPr>
        <w:t>d</w:t>
      </w:r>
      <w:r w:rsidRPr="00491316">
        <w:rPr>
          <w:rFonts w:ascii="Calibri" w:eastAsia="Times New Roman" w:hAnsi="Calibri" w:cs="Calibri"/>
          <w:bCs/>
        </w:rPr>
        <w:t>yrektor NIW nie opracował i nie wdrożył systemu pozwalającego na dokonywanie weryfikacji i zapewnienia, czy udzielona dotacja została wydatkowana prawidłowo, a ukształtowany zwyczajowo schemat postępowania w zakresie badania, oceny i zatwierdzania składanych sprawozdań nie zapewniał rzetelnego i terminowego rozliczenia udzielanych dotacji</w:t>
      </w:r>
      <w:r>
        <w:rPr>
          <w:rFonts w:ascii="Calibri" w:eastAsia="Times New Roman" w:hAnsi="Calibri" w:cs="Calibri"/>
          <w:bCs/>
        </w:rPr>
        <w:t xml:space="preserve">. </w:t>
      </w:r>
      <w:r w:rsidRPr="00491316">
        <w:rPr>
          <w:rFonts w:ascii="Calibri" w:hAnsi="Calibri" w:cs="Calibri"/>
        </w:rPr>
        <w:t xml:space="preserve">Działania NIW w zakresie procesu rozliczania udzielanych dotacji w ramach rządowych programów stanowią wyłącznie wykonanie rozporządzenia Przewodniczącego Komitetu ds. Pożytku Publicznego w sprawie wzorów ofert i ramowych wzorów umów dotyczących realizacji zadań publicznych oraz wzorów sprawozdań z wykonania tych zadań i procedowane są zgodnie z założeniami realizowanej przez Rząd </w:t>
      </w:r>
      <w:r>
        <w:rPr>
          <w:rFonts w:ascii="Calibri" w:hAnsi="Calibri" w:cs="Calibri"/>
        </w:rPr>
        <w:t xml:space="preserve">w latach 2016-2023 </w:t>
      </w:r>
      <w:r w:rsidRPr="00491316">
        <w:rPr>
          <w:rFonts w:ascii="Calibri" w:hAnsi="Calibri" w:cs="Calibri"/>
        </w:rPr>
        <w:t xml:space="preserve">polityki wspierania rozwoju społeczeństwa obywatelskiego </w:t>
      </w:r>
      <w:r>
        <w:rPr>
          <w:rFonts w:ascii="Calibri" w:hAnsi="Calibri" w:cs="Calibri"/>
        </w:rPr>
        <w:t xml:space="preserve">określonej w programach rządowych wspierania rozwoju społeczeństwa obywatelskiego. System </w:t>
      </w:r>
      <w:r w:rsidRPr="00491316">
        <w:rPr>
          <w:rFonts w:ascii="Calibri" w:eastAsia="Times New Roman" w:hAnsi="Calibri" w:cs="Calibri"/>
          <w:bCs/>
        </w:rPr>
        <w:t>zapewnienia, czy udzielona dotacja została wydatkowana prawidłowo</w:t>
      </w:r>
      <w:r>
        <w:rPr>
          <w:rFonts w:ascii="Calibri" w:eastAsia="Times New Roman" w:hAnsi="Calibri" w:cs="Calibri"/>
          <w:bCs/>
        </w:rPr>
        <w:t xml:space="preserve"> opiera się na ocenie sprawozdania z realizacji projektu</w:t>
      </w:r>
      <w:r w:rsidR="005D5141">
        <w:rPr>
          <w:rFonts w:ascii="Calibri" w:eastAsia="Times New Roman" w:hAnsi="Calibri" w:cs="Calibri"/>
          <w:bCs/>
        </w:rPr>
        <w:t xml:space="preserve">, </w:t>
      </w:r>
      <w:r>
        <w:rPr>
          <w:rFonts w:ascii="Calibri" w:hAnsi="Calibri" w:cs="Calibri"/>
        </w:rPr>
        <w:t>weryfikacji</w:t>
      </w:r>
      <w:r w:rsidR="005D5141">
        <w:rPr>
          <w:rFonts w:ascii="Calibri" w:hAnsi="Calibri" w:cs="Calibri"/>
        </w:rPr>
        <w:t xml:space="preserve"> czy zostały zrealizowane działania i osiągnięte rezultaty. System opiera się oświadczeniu beneficjenta zawartym w sprawozdaniu i nie zakłada weryfikacji dokumentów źródłowych (np. faktur). </w:t>
      </w:r>
      <w:r w:rsidR="005D5141" w:rsidRPr="00491316">
        <w:rPr>
          <w:rFonts w:ascii="Calibri" w:hAnsi="Calibri" w:cs="Calibri"/>
          <w:shd w:val="clear" w:color="auto" w:fill="FFFFFF"/>
        </w:rPr>
        <w:t>Powyższe podejści</w:t>
      </w:r>
      <w:r w:rsidR="005D5141">
        <w:rPr>
          <w:rFonts w:ascii="Calibri" w:hAnsi="Calibri" w:cs="Calibri"/>
          <w:shd w:val="clear" w:color="auto" w:fill="FFFFFF"/>
        </w:rPr>
        <w:t>e</w:t>
      </w:r>
      <w:r w:rsidR="005D5141" w:rsidRPr="00491316">
        <w:rPr>
          <w:rFonts w:ascii="Calibri" w:hAnsi="Calibri" w:cs="Calibri"/>
          <w:shd w:val="clear" w:color="auto" w:fill="FFFFFF"/>
        </w:rPr>
        <w:t xml:space="preserve"> </w:t>
      </w:r>
      <w:r w:rsidR="005D5141">
        <w:rPr>
          <w:rFonts w:ascii="Calibri" w:hAnsi="Calibri" w:cs="Calibri"/>
          <w:shd w:val="clear" w:color="auto" w:fill="FFFFFF"/>
        </w:rPr>
        <w:t>znajduje potwierdzenie w piśmiennictwie</w:t>
      </w:r>
      <w:r w:rsidR="005D5141" w:rsidRPr="00491316">
        <w:rPr>
          <w:rFonts w:ascii="Calibri" w:hAnsi="Calibri" w:cs="Calibri"/>
          <w:shd w:val="clear" w:color="auto" w:fill="FFFFFF"/>
        </w:rPr>
        <w:t xml:space="preserve">. Przykładowo w komentarzu do art. 18 ustawy o działalności pożytku publicznego i o wolontariacie autorstwa Jolanty </w:t>
      </w:r>
      <w:proofErr w:type="spellStart"/>
      <w:r w:rsidR="005D5141" w:rsidRPr="00491316">
        <w:rPr>
          <w:rFonts w:ascii="Calibri" w:hAnsi="Calibri" w:cs="Calibri"/>
          <w:shd w:val="clear" w:color="auto" w:fill="FFFFFF"/>
        </w:rPr>
        <w:t>Blichniarz</w:t>
      </w:r>
      <w:proofErr w:type="spellEnd"/>
      <w:r w:rsidR="005D5141" w:rsidRPr="00491316">
        <w:rPr>
          <w:rFonts w:ascii="Calibri" w:hAnsi="Calibri" w:cs="Calibri"/>
          <w:shd w:val="clear" w:color="auto" w:fill="FFFFFF"/>
        </w:rPr>
        <w:t xml:space="preserve"> (Lex/el) wyjaśniono: </w:t>
      </w:r>
      <w:r w:rsidR="005D5141" w:rsidRPr="00491316">
        <w:rPr>
          <w:rFonts w:ascii="Calibri" w:hAnsi="Calibri" w:cs="Calibri"/>
          <w:i/>
          <w:shd w:val="clear" w:color="auto" w:fill="FFFFFF"/>
        </w:rPr>
        <w:t>„Do sprawozdania nie załącza się faktur (rachunków), które należy przechowywać zgodnie z obowiązującymi przepisami oraz postanowieniami umowy i udostępniać na żądanie zleceniodawcy.”.</w:t>
      </w:r>
      <w:r w:rsidR="005D5141">
        <w:rPr>
          <w:rFonts w:ascii="Calibri" w:hAnsi="Calibri" w:cs="Calibri"/>
          <w:i/>
          <w:shd w:val="clear" w:color="auto" w:fill="FFFFFF"/>
        </w:rPr>
        <w:t xml:space="preserve"> </w:t>
      </w:r>
      <w:r w:rsidR="005D5141" w:rsidRPr="005D5141">
        <w:rPr>
          <w:rFonts w:ascii="Calibri" w:hAnsi="Calibri" w:cs="Calibri"/>
          <w:shd w:val="clear" w:color="auto" w:fill="FFFFFF"/>
        </w:rPr>
        <w:t>Dopiero w przypadku nieścisłości bądź luk w sprawozdaniu NIW uprawniony jest do żądania od beneficjenta dodatkowych wyjaśnień albo przedstawienia dokumentacji realizacji projektu. W</w:t>
      </w:r>
      <w:r w:rsidR="005D5141" w:rsidRPr="005D5141">
        <w:rPr>
          <w:rFonts w:ascii="Calibri" w:hAnsi="Calibri" w:cs="Calibri"/>
        </w:rPr>
        <w:t xml:space="preserve">prowadzenie innego niż dotychczasowy systemu weryfikacji sprawozdań polegającego na rozszerzeniu obowiązków beneficjentów na etapie składania sprawozdania, jak i wprowadzającego zasadniczo inne uregulowania rozszerzające zakres sprawozdania z realizacji zadania publicznego, jest </w:t>
      </w:r>
      <w:r w:rsidR="005D5141" w:rsidRPr="005D5141">
        <w:rPr>
          <w:rFonts w:ascii="Calibri" w:hAnsi="Calibri" w:cs="Calibri"/>
        </w:rPr>
        <w:lastRenderedPageBreak/>
        <w:t>wobec tego uzależnione od decyzji Przewodniczącego Komitetu ds. Pożytku Publicznego.</w:t>
      </w:r>
      <w:r w:rsidR="005D5141">
        <w:rPr>
          <w:rFonts w:ascii="Calibri" w:hAnsi="Calibri" w:cs="Calibri"/>
        </w:rPr>
        <w:t xml:space="preserve"> W latach 2018-2023 </w:t>
      </w:r>
      <w:r w:rsidR="005D5141" w:rsidRPr="005D5141">
        <w:rPr>
          <w:rFonts w:ascii="Calibri" w:hAnsi="Calibri" w:cs="Calibri"/>
        </w:rPr>
        <w:t>Przewodnicząc</w:t>
      </w:r>
      <w:r w:rsidR="005D5141">
        <w:rPr>
          <w:rFonts w:ascii="Calibri" w:hAnsi="Calibri" w:cs="Calibri"/>
        </w:rPr>
        <w:t>y</w:t>
      </w:r>
      <w:r w:rsidR="005D5141" w:rsidRPr="005D5141">
        <w:rPr>
          <w:rFonts w:ascii="Calibri" w:hAnsi="Calibri" w:cs="Calibri"/>
        </w:rPr>
        <w:t xml:space="preserve"> Komitetu</w:t>
      </w:r>
      <w:r w:rsidR="005D5141">
        <w:rPr>
          <w:rFonts w:ascii="Calibri" w:hAnsi="Calibri" w:cs="Calibri"/>
        </w:rPr>
        <w:t xml:space="preserve"> wielokrotnie potwierdzał, że uproszczenie w 2018 roku zasad sprawozdawczych miało charakter intencjonalny i służyło odbiurokratyzowaniu działalności NGO. </w:t>
      </w:r>
      <w:r w:rsidR="00053E7E" w:rsidRPr="00215FBB">
        <w:rPr>
          <w:rFonts w:ascii="Calibri" w:hAnsi="Calibri" w:cs="Calibri"/>
          <w:b/>
        </w:rPr>
        <w:t>M</w:t>
      </w:r>
      <w:r w:rsidR="00053E7E" w:rsidRPr="00215FBB">
        <w:rPr>
          <w:b/>
        </w:rPr>
        <w:t>iało też na celu budowanie zaufania społecznego i traktowanie organizacji jako partnerów.</w:t>
      </w:r>
    </w:p>
    <w:p w14:paraId="2F8C983A" w14:textId="0B82CB3F" w:rsidR="002516FB" w:rsidRDefault="002516FB" w:rsidP="002516F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NIK w szeregu indywidualnych przypadków kwestionuje rozstrzygnięcia NIW dotyczące zatwierdzenia sprawozdania i np. ewentualnego określenia kwoty dotacji do zwrotu. W każdym przypadku są to indywidualne oceny kontrolerów, wobec których dyrektor NIW odniósł się szczegółowo w trakcie kontroli oraz w zastrzeżeniach do projektu Wystąpienia pokontrolnego przekazanych NIK w dniu 17 stycznia 2024 roku</w:t>
      </w:r>
      <w:r w:rsidR="00053E7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053E7E" w:rsidRPr="00215FBB">
        <w:rPr>
          <w:rFonts w:ascii="Calibri" w:hAnsi="Calibri" w:cs="Calibri"/>
        </w:rPr>
        <w:t>O</w:t>
      </w:r>
      <w:r w:rsidR="00973FFD" w:rsidRPr="00215FBB">
        <w:rPr>
          <w:rFonts w:ascii="Calibri" w:hAnsi="Calibri" w:cs="Calibri"/>
        </w:rPr>
        <w:t>cen</w:t>
      </w:r>
      <w:r w:rsidR="00053E7E" w:rsidRPr="00215FBB">
        <w:rPr>
          <w:rFonts w:ascii="Calibri" w:hAnsi="Calibri" w:cs="Calibri"/>
        </w:rPr>
        <w:t>y kontrolerów są</w:t>
      </w:r>
      <w:r w:rsidR="00973FFD" w:rsidRPr="00215FBB">
        <w:rPr>
          <w:rFonts w:ascii="Calibri" w:hAnsi="Calibri" w:cs="Calibri"/>
        </w:rPr>
        <w:t xml:space="preserve"> nierzeteln</w:t>
      </w:r>
      <w:r w:rsidR="00053E7E" w:rsidRPr="00215FBB">
        <w:rPr>
          <w:rFonts w:ascii="Calibri" w:hAnsi="Calibri" w:cs="Calibri"/>
        </w:rPr>
        <w:t>e</w:t>
      </w:r>
      <w:r w:rsidR="00973FFD" w:rsidRPr="00215FBB">
        <w:rPr>
          <w:rFonts w:ascii="Calibri" w:hAnsi="Calibri" w:cs="Calibri"/>
        </w:rPr>
        <w:t xml:space="preserve"> oraz nie</w:t>
      </w:r>
      <w:r w:rsidR="00053E7E" w:rsidRPr="00215FBB">
        <w:rPr>
          <w:rFonts w:ascii="Calibri" w:hAnsi="Calibri" w:cs="Calibri"/>
        </w:rPr>
        <w:t xml:space="preserve"> </w:t>
      </w:r>
      <w:r w:rsidR="00973FFD" w:rsidRPr="00215FBB">
        <w:rPr>
          <w:rFonts w:ascii="Calibri" w:hAnsi="Calibri" w:cs="Calibri"/>
        </w:rPr>
        <w:t>uwzględni</w:t>
      </w:r>
      <w:r w:rsidR="00053E7E" w:rsidRPr="00215FBB">
        <w:rPr>
          <w:rFonts w:ascii="Calibri" w:hAnsi="Calibri" w:cs="Calibri"/>
        </w:rPr>
        <w:t>ają</w:t>
      </w:r>
      <w:r w:rsidR="00973FFD" w:rsidRPr="00215FBB">
        <w:rPr>
          <w:rFonts w:ascii="Calibri" w:hAnsi="Calibri" w:cs="Calibri"/>
        </w:rPr>
        <w:t xml:space="preserve"> wszystkich okoliczności weryfikacji sprawozdania.</w:t>
      </w:r>
      <w:r w:rsidR="00973FFD">
        <w:rPr>
          <w:rFonts w:ascii="Calibri" w:hAnsi="Calibri" w:cs="Calibri"/>
        </w:rPr>
        <w:t xml:space="preserve"> Naszym zdaniem </w:t>
      </w:r>
      <w:r w:rsidR="009A115D" w:rsidRPr="00215FBB">
        <w:rPr>
          <w:rFonts w:ascii="Calibri" w:hAnsi="Calibri" w:cs="Calibri"/>
          <w:b/>
        </w:rPr>
        <w:t>powołany na p.o. dyrektora</w:t>
      </w:r>
      <w:r w:rsidR="00973FFD" w:rsidRPr="00215FBB">
        <w:rPr>
          <w:rFonts w:ascii="Calibri" w:hAnsi="Calibri" w:cs="Calibri"/>
          <w:b/>
        </w:rPr>
        <w:t xml:space="preserve"> NIW powin</w:t>
      </w:r>
      <w:r w:rsidR="009A115D" w:rsidRPr="00215FBB">
        <w:rPr>
          <w:rFonts w:ascii="Calibri" w:hAnsi="Calibri" w:cs="Calibri"/>
          <w:b/>
        </w:rPr>
        <w:t>ien</w:t>
      </w:r>
      <w:r w:rsidR="00973FFD" w:rsidRPr="00DE53DD">
        <w:rPr>
          <w:rFonts w:ascii="Calibri" w:hAnsi="Calibri" w:cs="Calibri"/>
          <w:b/>
        </w:rPr>
        <w:t xml:space="preserve"> obok Wystąpienia pokontrolnego opublikować także powyższe zastrzeżenia</w:t>
      </w:r>
      <w:r w:rsidR="00973FFD">
        <w:rPr>
          <w:rFonts w:ascii="Calibri" w:hAnsi="Calibri" w:cs="Calibri"/>
        </w:rPr>
        <w:t xml:space="preserve"> NIW. Służyłoby to zapewnieniu przejrzystości informacji. Od 13 marca br. nie dysponujemy dostępem do ww. dokumentu, nie możemy zatem odnieść się bardziej szczegółowo do sformułowanych zarzutów.  </w:t>
      </w:r>
    </w:p>
    <w:p w14:paraId="3FB8B499" w14:textId="3BE076D9" w:rsidR="002516FB" w:rsidRPr="00491316" w:rsidRDefault="002516FB" w:rsidP="002516F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Kontrolerzy NIK uważają również, że d</w:t>
      </w:r>
      <w:r w:rsidRPr="00491316">
        <w:rPr>
          <w:rFonts w:ascii="Calibri" w:hAnsi="Calibri" w:cs="Calibri"/>
        </w:rPr>
        <w:t>yrektor NIW nie zapewnił potencjału organizacyjnego umożliwiającego kontrolę prawidłowości realizacji dofinansowanych projektów w skali adekwatnej do liczby podpisanych umów. Skutkiem ww. nieprawidłowości było realizowanie przez NIW kontroli w liczbie zbyt niskiej w ocenie NI</w:t>
      </w:r>
      <w:r>
        <w:rPr>
          <w:rFonts w:ascii="Calibri" w:hAnsi="Calibri" w:cs="Calibri"/>
        </w:rPr>
        <w:t>K</w:t>
      </w:r>
      <w:r w:rsidRPr="00491316">
        <w:rPr>
          <w:rFonts w:ascii="Calibri" w:hAnsi="Calibri" w:cs="Calibri"/>
        </w:rPr>
        <w:t xml:space="preserve">. </w:t>
      </w:r>
      <w:r w:rsidRPr="00215FBB">
        <w:rPr>
          <w:rFonts w:ascii="Calibri" w:hAnsi="Calibri" w:cs="Calibri"/>
          <w:b/>
        </w:rPr>
        <w:t>To stwierdzenia</w:t>
      </w:r>
      <w:r w:rsidR="00215FBB">
        <w:rPr>
          <w:rFonts w:ascii="Calibri" w:hAnsi="Calibri" w:cs="Calibri"/>
          <w:b/>
        </w:rPr>
        <w:t>, które nie mają uzasadnienia</w:t>
      </w:r>
      <w:r w:rsidRPr="00215FBB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NIW jest instytucją publiczną. Plan finansowy NIW określony jest w ustawie budżetowej. Dyrektor NIW nie prowadzi działalności rynkowej mogąc dowolnie zwiększać zatrudnienie finansowane z innych źródeł niż środki publiczne. </w:t>
      </w:r>
      <w:r w:rsidR="00973FFD">
        <w:rPr>
          <w:rFonts w:ascii="Calibri" w:hAnsi="Calibri" w:cs="Calibri"/>
        </w:rPr>
        <w:t xml:space="preserve">Oprócz procedur kontrolnych dla zapewnienia wyższej jakości realizowanych projektów NIW wdrożył system monitoringu dofinansowanych zadań. W ramach monitoringu, co roku, w miarę możliwości zasobowych, pracownicy NIW odwiedzili kilkadziesiąt organizacji realizujących dofinansowane projekty przyglądając się temu jak beneficjent </w:t>
      </w:r>
      <w:r w:rsidR="004A6E05">
        <w:rPr>
          <w:rFonts w:ascii="Calibri" w:hAnsi="Calibri" w:cs="Calibri"/>
        </w:rPr>
        <w:t xml:space="preserve">wykonuje plan działań i dokumentuje czynności projektowe. Wiele organizacji chwali system monitoringu wskazując na jego charakter umożliwiający zapobieganie powstawaniu ewentualnych nieprawidłowości. </w:t>
      </w:r>
      <w:r w:rsidR="00973FFD">
        <w:rPr>
          <w:rFonts w:ascii="Calibri" w:hAnsi="Calibri" w:cs="Calibri"/>
        </w:rPr>
        <w:t xml:space="preserve"> </w:t>
      </w:r>
    </w:p>
    <w:p w14:paraId="2F29F50C" w14:textId="05051595" w:rsidR="009A115D" w:rsidRDefault="004A6E05" w:rsidP="00AB493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Kontrolerzy NIK</w:t>
      </w:r>
      <w:r w:rsidRPr="004A6E05">
        <w:rPr>
          <w:rFonts w:cstheme="minorHAnsi"/>
        </w:rPr>
        <w:t xml:space="preserve"> sformułowa</w:t>
      </w:r>
      <w:r>
        <w:rPr>
          <w:rFonts w:cstheme="minorHAnsi"/>
        </w:rPr>
        <w:t>li</w:t>
      </w:r>
      <w:r w:rsidRPr="004A6E05">
        <w:rPr>
          <w:rFonts w:cstheme="minorHAnsi"/>
        </w:rPr>
        <w:t xml:space="preserve"> swoje błędne oceny </w:t>
      </w:r>
      <w:r>
        <w:rPr>
          <w:rFonts w:cstheme="minorHAnsi"/>
        </w:rPr>
        <w:t>w</w:t>
      </w:r>
      <w:r w:rsidRPr="004A6E05">
        <w:rPr>
          <w:rFonts w:cstheme="minorHAnsi"/>
        </w:rPr>
        <w:t>ykaz</w:t>
      </w:r>
      <w:r>
        <w:rPr>
          <w:rFonts w:cstheme="minorHAnsi"/>
        </w:rPr>
        <w:t>ując</w:t>
      </w:r>
      <w:r w:rsidRPr="004A6E05">
        <w:rPr>
          <w:rFonts w:cstheme="minorHAnsi"/>
        </w:rPr>
        <w:t xml:space="preserve"> się brakiem rzetelnej wiedzy na temat przedmiotu kontroli. Rzekome uchybienia są nieprawdziwe i jak to pokazano </w:t>
      </w:r>
      <w:r>
        <w:rPr>
          <w:rFonts w:cstheme="minorHAnsi"/>
        </w:rPr>
        <w:t>wy</w:t>
      </w:r>
      <w:r w:rsidRPr="004A6E05">
        <w:rPr>
          <w:rFonts w:cstheme="minorHAnsi"/>
        </w:rPr>
        <w:t xml:space="preserve">żej po prostu nie występują. </w:t>
      </w:r>
      <w:r>
        <w:rPr>
          <w:rFonts w:cstheme="minorHAnsi"/>
        </w:rPr>
        <w:t xml:space="preserve">Stwierdzenia dotyczące nierzetelnego działania nie zostały poparte </w:t>
      </w:r>
      <w:r w:rsidR="00C866B2">
        <w:rPr>
          <w:rFonts w:cstheme="minorHAnsi"/>
        </w:rPr>
        <w:t>rzeczowym</w:t>
      </w:r>
      <w:r>
        <w:rPr>
          <w:rFonts w:cstheme="minorHAnsi"/>
        </w:rPr>
        <w:t xml:space="preserve"> uzasadnieniem</w:t>
      </w:r>
      <w:r w:rsidR="00C866B2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C866B2">
        <w:rPr>
          <w:rFonts w:ascii="Calibri" w:hAnsi="Calibri" w:cs="Calibri"/>
        </w:rPr>
        <w:t>W</w:t>
      </w:r>
      <w:r w:rsidR="00C866B2" w:rsidRPr="00491316">
        <w:rPr>
          <w:rFonts w:ascii="Calibri" w:hAnsi="Calibri" w:cs="Calibri"/>
        </w:rPr>
        <w:t xml:space="preserve"> żadnym ze wskazanych przypadków</w:t>
      </w:r>
      <w:r w:rsidR="00C866B2">
        <w:rPr>
          <w:rFonts w:ascii="Calibri" w:hAnsi="Calibri" w:cs="Calibri"/>
        </w:rPr>
        <w:t xml:space="preserve"> NIK</w:t>
      </w:r>
      <w:r w:rsidR="00C866B2" w:rsidRPr="00491316">
        <w:rPr>
          <w:rFonts w:ascii="Calibri" w:hAnsi="Calibri" w:cs="Calibri"/>
        </w:rPr>
        <w:t xml:space="preserve"> nie wskazuje podstawy takiej oceny. Nie powołuje się na żadne dane, opracowania naukowe lub inne specjalistyczne, raporty z badań, podręczniki specjalistyczne lub metodologiczne. Nie odnosi się w żaden sposób do dokumentów określających podstawy prowadzonych polityk publicznych. Brak także odniesienia do zasad współpracy administracji publicznej z organizacjami pozarządowymi określonymi w art. 5 ustawy o działalności pożytku publicznego i o wolontariacie. </w:t>
      </w:r>
      <w:r w:rsidR="00C866B2" w:rsidRPr="00215FBB">
        <w:rPr>
          <w:rFonts w:ascii="Calibri" w:hAnsi="Calibri" w:cs="Calibri"/>
          <w:b/>
        </w:rPr>
        <w:t xml:space="preserve">Tym samym </w:t>
      </w:r>
      <w:r w:rsidR="009A115D" w:rsidRPr="00215FBB">
        <w:rPr>
          <w:rFonts w:ascii="Calibri" w:hAnsi="Calibri" w:cs="Calibri"/>
          <w:b/>
        </w:rPr>
        <w:t>W</w:t>
      </w:r>
      <w:r w:rsidR="00C866B2" w:rsidRPr="00215FBB">
        <w:rPr>
          <w:rFonts w:ascii="Calibri" w:hAnsi="Calibri" w:cs="Calibri"/>
          <w:b/>
        </w:rPr>
        <w:t>ystąpieni</w:t>
      </w:r>
      <w:r w:rsidR="009A115D" w:rsidRPr="00215FBB">
        <w:rPr>
          <w:rFonts w:ascii="Calibri" w:hAnsi="Calibri" w:cs="Calibri"/>
          <w:b/>
        </w:rPr>
        <w:t>e</w:t>
      </w:r>
      <w:r w:rsidR="00C866B2" w:rsidRPr="00215FBB">
        <w:rPr>
          <w:rFonts w:ascii="Calibri" w:hAnsi="Calibri" w:cs="Calibri"/>
          <w:b/>
        </w:rPr>
        <w:t xml:space="preserve"> pokontrolne </w:t>
      </w:r>
      <w:r w:rsidR="009A115D" w:rsidRPr="00215FBB">
        <w:rPr>
          <w:rFonts w:ascii="Calibri" w:hAnsi="Calibri" w:cs="Calibri"/>
          <w:b/>
        </w:rPr>
        <w:t>jest</w:t>
      </w:r>
      <w:r w:rsidR="00C866B2" w:rsidRPr="00215FBB">
        <w:rPr>
          <w:rFonts w:ascii="Calibri" w:hAnsi="Calibri" w:cs="Calibri"/>
          <w:b/>
        </w:rPr>
        <w:t xml:space="preserve"> dokument</w:t>
      </w:r>
      <w:r w:rsidR="009A115D" w:rsidRPr="00215FBB">
        <w:rPr>
          <w:rFonts w:ascii="Calibri" w:hAnsi="Calibri" w:cs="Calibri"/>
          <w:b/>
        </w:rPr>
        <w:t>em</w:t>
      </w:r>
      <w:r w:rsidR="00C866B2" w:rsidRPr="00215FBB">
        <w:rPr>
          <w:rFonts w:ascii="Calibri" w:hAnsi="Calibri" w:cs="Calibri"/>
          <w:b/>
        </w:rPr>
        <w:t xml:space="preserve"> sporządzon</w:t>
      </w:r>
      <w:r w:rsidR="009A115D" w:rsidRPr="00215FBB">
        <w:rPr>
          <w:rFonts w:ascii="Calibri" w:hAnsi="Calibri" w:cs="Calibri"/>
          <w:b/>
        </w:rPr>
        <w:t>ym</w:t>
      </w:r>
      <w:r w:rsidR="00C866B2" w:rsidRPr="00215FBB">
        <w:rPr>
          <w:rFonts w:ascii="Calibri" w:hAnsi="Calibri" w:cs="Calibri"/>
          <w:b/>
        </w:rPr>
        <w:t xml:space="preserve"> niedbale</w:t>
      </w:r>
      <w:r w:rsidR="009A115D" w:rsidRPr="00215FBB">
        <w:rPr>
          <w:rFonts w:ascii="Calibri" w:hAnsi="Calibri" w:cs="Calibri"/>
          <w:b/>
        </w:rPr>
        <w:t>.</w:t>
      </w:r>
      <w:r w:rsidR="00C866B2" w:rsidRPr="00215FBB">
        <w:rPr>
          <w:rFonts w:ascii="Calibri" w:hAnsi="Calibri" w:cs="Calibri"/>
          <w:b/>
        </w:rPr>
        <w:t xml:space="preserve"> </w:t>
      </w:r>
      <w:r w:rsidR="009A115D" w:rsidRPr="00215FBB">
        <w:rPr>
          <w:rFonts w:ascii="Calibri" w:hAnsi="Calibri" w:cs="Calibri"/>
          <w:b/>
        </w:rPr>
        <w:t xml:space="preserve">NIK </w:t>
      </w:r>
      <w:r w:rsidR="00C866B2" w:rsidRPr="00215FBB">
        <w:rPr>
          <w:rFonts w:ascii="Calibri" w:hAnsi="Calibri" w:cs="Calibri"/>
          <w:b/>
        </w:rPr>
        <w:t>dokonuj</w:t>
      </w:r>
      <w:r w:rsidR="009A115D" w:rsidRPr="00215FBB">
        <w:rPr>
          <w:rFonts w:ascii="Calibri" w:hAnsi="Calibri" w:cs="Calibri"/>
          <w:b/>
        </w:rPr>
        <w:t>e</w:t>
      </w:r>
      <w:r w:rsidR="00C866B2" w:rsidRPr="00215FBB">
        <w:rPr>
          <w:rFonts w:ascii="Calibri" w:hAnsi="Calibri" w:cs="Calibri"/>
          <w:b/>
        </w:rPr>
        <w:t xml:space="preserve"> krytyki bez należytej podstawy, formułując oceny w sposób całkowicie nieprzejrzysty.</w:t>
      </w:r>
      <w:r w:rsidR="00C866B2">
        <w:rPr>
          <w:rFonts w:ascii="Calibri" w:hAnsi="Calibri" w:cs="Calibri"/>
        </w:rPr>
        <w:t xml:space="preserve"> </w:t>
      </w:r>
      <w:r w:rsidR="00C866B2" w:rsidRPr="00491316">
        <w:rPr>
          <w:rFonts w:ascii="Calibri" w:eastAsia="Times New Roman" w:hAnsi="Calibri" w:cs="Calibri"/>
        </w:rPr>
        <w:t xml:space="preserve">Oceny braku rzetelności działania noszą znamiona całkowicie subiektywnej opinii, która nie została oparta na żadnych podstawach metodologicznych ani odniesiona do istniejącej bazy wiedzy. W tym kontekście jest całkowicie nieuzasadniona, nierzetelna per </w:t>
      </w:r>
      <w:proofErr w:type="spellStart"/>
      <w:r w:rsidR="00C866B2" w:rsidRPr="00491316">
        <w:rPr>
          <w:rFonts w:ascii="Calibri" w:eastAsia="Times New Roman" w:hAnsi="Calibri" w:cs="Calibri"/>
        </w:rPr>
        <w:t>se</w:t>
      </w:r>
      <w:proofErr w:type="spellEnd"/>
      <w:r w:rsidR="00C866B2" w:rsidRPr="00491316">
        <w:rPr>
          <w:rFonts w:ascii="Calibri" w:eastAsia="Times New Roman" w:hAnsi="Calibri" w:cs="Calibri"/>
        </w:rPr>
        <w:t xml:space="preserve">, </w:t>
      </w:r>
      <w:r w:rsidR="00580C82" w:rsidRPr="00491316">
        <w:rPr>
          <w:rFonts w:ascii="Calibri" w:eastAsia="Times New Roman" w:hAnsi="Calibri" w:cs="Calibri"/>
        </w:rPr>
        <w:t>nietransparentna</w:t>
      </w:r>
      <w:r w:rsidR="00C866B2" w:rsidRPr="00491316">
        <w:rPr>
          <w:rFonts w:ascii="Calibri" w:eastAsia="Times New Roman" w:hAnsi="Calibri" w:cs="Calibri"/>
        </w:rPr>
        <w:t xml:space="preserve"> i </w:t>
      </w:r>
      <w:r w:rsidR="00C866B2">
        <w:rPr>
          <w:rFonts w:ascii="Calibri" w:eastAsia="Times New Roman" w:hAnsi="Calibri" w:cs="Calibri"/>
        </w:rPr>
        <w:t xml:space="preserve">nie </w:t>
      </w:r>
      <w:r w:rsidR="00C866B2" w:rsidRPr="00491316">
        <w:rPr>
          <w:rFonts w:ascii="Calibri" w:eastAsia="Times New Roman" w:hAnsi="Calibri" w:cs="Calibri"/>
        </w:rPr>
        <w:t>ma znaczenia w ocenie kon</w:t>
      </w:r>
      <w:bookmarkStart w:id="2" w:name="_GoBack"/>
      <w:bookmarkEnd w:id="2"/>
      <w:r w:rsidR="00C866B2" w:rsidRPr="00491316">
        <w:rPr>
          <w:rFonts w:ascii="Calibri" w:eastAsia="Times New Roman" w:hAnsi="Calibri" w:cs="Calibri"/>
        </w:rPr>
        <w:t>trolowanej jednostki. Bez adekwatnych podstaw nie może być także, ani nawet nie powinna być wykorzystana do korekty prowadzonej działalności przez kontrolowaną jednostkę.</w:t>
      </w:r>
      <w:r w:rsidR="00C866B2">
        <w:rPr>
          <w:rFonts w:ascii="Calibri" w:eastAsia="Times New Roman" w:hAnsi="Calibri" w:cs="Calibri"/>
        </w:rPr>
        <w:t xml:space="preserve"> </w:t>
      </w:r>
      <w:r>
        <w:rPr>
          <w:rFonts w:cstheme="minorHAnsi"/>
        </w:rPr>
        <w:t>W</w:t>
      </w:r>
      <w:r w:rsidRPr="004A6E05">
        <w:rPr>
          <w:rFonts w:cstheme="minorHAnsi"/>
        </w:rPr>
        <w:t xml:space="preserve"> wielu przypadkach zarzuty formułowane są w całkowitym oderwaniu od stosowanych powszechnie procedur konkursowych. </w:t>
      </w:r>
    </w:p>
    <w:p w14:paraId="2BF52F05" w14:textId="420E06DC" w:rsidR="00352D26" w:rsidRDefault="004A6E05" w:rsidP="00AB4931">
      <w:pPr>
        <w:spacing w:after="120" w:line="276" w:lineRule="auto"/>
        <w:jc w:val="both"/>
        <w:rPr>
          <w:rFonts w:ascii="Calibri" w:hAnsi="Calibri" w:cs="Calibri"/>
        </w:rPr>
      </w:pPr>
      <w:r w:rsidRPr="004A6E05">
        <w:rPr>
          <w:rFonts w:cstheme="minorHAnsi"/>
        </w:rPr>
        <w:t xml:space="preserve">Tym samym należy stwierdzić, że </w:t>
      </w:r>
      <w:r w:rsidRPr="004A6E05">
        <w:rPr>
          <w:rFonts w:cstheme="minorHAnsi"/>
          <w:b/>
        </w:rPr>
        <w:t xml:space="preserve">przedstawiona w </w:t>
      </w:r>
      <w:r>
        <w:rPr>
          <w:rFonts w:cstheme="minorHAnsi"/>
          <w:b/>
        </w:rPr>
        <w:t>Wystąpieniu pokontrolnym</w:t>
      </w:r>
      <w:r w:rsidRPr="004A6E05">
        <w:rPr>
          <w:rFonts w:cstheme="minorHAnsi"/>
          <w:b/>
        </w:rPr>
        <w:t xml:space="preserve"> negatywna ocena działalności NIW została sporządzona nierzetelnie</w:t>
      </w:r>
      <w:r>
        <w:rPr>
          <w:rFonts w:cstheme="minorHAnsi"/>
          <w:b/>
        </w:rPr>
        <w:t xml:space="preserve"> i</w:t>
      </w:r>
      <w:r w:rsidRPr="004A6E05">
        <w:rPr>
          <w:rFonts w:cstheme="minorHAnsi"/>
          <w:b/>
        </w:rPr>
        <w:t xml:space="preserve"> z naruszeniem standardów kontroli</w:t>
      </w:r>
      <w:r>
        <w:rPr>
          <w:rFonts w:cstheme="minorHAnsi"/>
          <w:b/>
        </w:rPr>
        <w:t xml:space="preserve">. </w:t>
      </w:r>
      <w:r w:rsidR="00C866B2">
        <w:rPr>
          <w:rFonts w:cstheme="minorHAnsi"/>
        </w:rPr>
        <w:t xml:space="preserve">Na </w:t>
      </w:r>
      <w:r w:rsidR="00C866B2">
        <w:rPr>
          <w:rFonts w:cstheme="minorHAnsi"/>
        </w:rPr>
        <w:lastRenderedPageBreak/>
        <w:t>marginesie można t</w:t>
      </w:r>
      <w:r w:rsidRPr="004A6E05">
        <w:rPr>
          <w:rFonts w:cstheme="minorHAnsi"/>
        </w:rPr>
        <w:t>akże</w:t>
      </w:r>
      <w:r w:rsidR="00C866B2">
        <w:rPr>
          <w:rFonts w:cstheme="minorHAnsi"/>
        </w:rPr>
        <w:t xml:space="preserve"> d</w:t>
      </w:r>
      <w:r w:rsidR="007A4334">
        <w:rPr>
          <w:rFonts w:cstheme="minorHAnsi"/>
        </w:rPr>
        <w:t>o</w:t>
      </w:r>
      <w:r w:rsidR="00C866B2">
        <w:rPr>
          <w:rFonts w:cstheme="minorHAnsi"/>
        </w:rPr>
        <w:t>dać, że</w:t>
      </w:r>
      <w:r>
        <w:rPr>
          <w:rFonts w:cstheme="minorHAnsi"/>
          <w:b/>
        </w:rPr>
        <w:t xml:space="preserve"> </w:t>
      </w:r>
      <w:r w:rsidR="00C866B2" w:rsidRPr="00C866B2">
        <w:rPr>
          <w:rFonts w:cstheme="minorHAnsi"/>
        </w:rPr>
        <w:t>w</w:t>
      </w:r>
      <w:r w:rsidR="00F40967">
        <w:rPr>
          <w:rFonts w:ascii="Calibri" w:hAnsi="Calibri" w:cs="Calibri"/>
        </w:rPr>
        <w:t xml:space="preserve">yrażający dziś publicznie krytykę procedur konkursowych w NIW obecni dyrektorzy NIW, </w:t>
      </w:r>
      <w:r w:rsidR="00F40967">
        <w:rPr>
          <w:rFonts w:ascii="Calibri" w:hAnsi="Calibri" w:cs="Calibri"/>
          <w:color w:val="222222"/>
          <w:shd w:val="clear" w:color="auto" w:fill="FFFFFF"/>
        </w:rPr>
        <w:t xml:space="preserve">przewodniczący Rady Instytutu III kadencji, doradcy Pani Minister ds. Społeczeństwa Obywatelskiego, a także sama Przewodnicząca Komitetu ds. Pożytku Publicznego w przeszłości nie formułowali w ramach konsultacji społecznych żadnych umotywowanych zastrzeżeń do procedur konkursowych. Dodatkowo niektóre z wymienionych wyżej osób uczestniczyły w pracach komisji konkursowych i także nie składały zastrzeżeń do przebiegu prac tych gremiów. </w:t>
      </w:r>
    </w:p>
    <w:sectPr w:rsidR="0035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50DDC6C" w16cex:dateUtc="2024-04-10T09:22:00Z"/>
  <w16cex:commentExtensible w16cex:durableId="17A3276C" w16cex:dateUtc="2024-04-10T09:24:00Z"/>
  <w16cex:commentExtensible w16cex:durableId="23505D80" w16cex:dateUtc="2024-04-10T09:27:00Z"/>
  <w16cex:commentExtensible w16cex:durableId="4C824F90" w16cex:dateUtc="2024-04-10T09:27:00Z"/>
  <w16cex:commentExtensible w16cex:durableId="1634DB5E" w16cex:dateUtc="2024-04-10T09:2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17F09"/>
    <w:multiLevelType w:val="hybridMultilevel"/>
    <w:tmpl w:val="97DAFD22"/>
    <w:lvl w:ilvl="0" w:tplc="C9380CA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7752D6"/>
    <w:multiLevelType w:val="hybridMultilevel"/>
    <w:tmpl w:val="D54C68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9B"/>
    <w:rsid w:val="00053E7E"/>
    <w:rsid w:val="000C0888"/>
    <w:rsid w:val="000E69D1"/>
    <w:rsid w:val="001667BE"/>
    <w:rsid w:val="00215FBB"/>
    <w:rsid w:val="002516FB"/>
    <w:rsid w:val="00265E15"/>
    <w:rsid w:val="002C08F8"/>
    <w:rsid w:val="00316C0D"/>
    <w:rsid w:val="0034544C"/>
    <w:rsid w:val="00352D26"/>
    <w:rsid w:val="003B3E4C"/>
    <w:rsid w:val="003C0047"/>
    <w:rsid w:val="00406C99"/>
    <w:rsid w:val="00427EBC"/>
    <w:rsid w:val="004A6E05"/>
    <w:rsid w:val="00580C82"/>
    <w:rsid w:val="005D5141"/>
    <w:rsid w:val="00674939"/>
    <w:rsid w:val="00676177"/>
    <w:rsid w:val="006C27F1"/>
    <w:rsid w:val="007A4334"/>
    <w:rsid w:val="00837A36"/>
    <w:rsid w:val="00846D03"/>
    <w:rsid w:val="008D212A"/>
    <w:rsid w:val="00973F38"/>
    <w:rsid w:val="00973FFD"/>
    <w:rsid w:val="009A115D"/>
    <w:rsid w:val="00A123CB"/>
    <w:rsid w:val="00A311FB"/>
    <w:rsid w:val="00A72AB0"/>
    <w:rsid w:val="00A83438"/>
    <w:rsid w:val="00AB4931"/>
    <w:rsid w:val="00C32491"/>
    <w:rsid w:val="00C452AA"/>
    <w:rsid w:val="00C866B2"/>
    <w:rsid w:val="00CD7A01"/>
    <w:rsid w:val="00D25AFB"/>
    <w:rsid w:val="00DE53DD"/>
    <w:rsid w:val="00E00163"/>
    <w:rsid w:val="00E37158"/>
    <w:rsid w:val="00E53F87"/>
    <w:rsid w:val="00E61287"/>
    <w:rsid w:val="00E837BC"/>
    <w:rsid w:val="00F40967"/>
    <w:rsid w:val="00F54B60"/>
    <w:rsid w:val="00F8639B"/>
    <w:rsid w:val="00F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CA70"/>
  <w15:docId w15:val="{D5834EC3-6922-442B-B94E-2281EB37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link w:val="Nagwek1Znak"/>
    <w:uiPriority w:val="9"/>
    <w:qFormat/>
    <w:rsid w:val="00F8639B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422"/>
        <w:tab w:val="left" w:pos="4876"/>
      </w:tabs>
      <w:spacing w:after="0" w:line="260" w:lineRule="atLeast"/>
      <w:outlineLvl w:val="0"/>
    </w:pPr>
    <w:rPr>
      <w:rFonts w:ascii="Cambria" w:eastAsia="Arial Unicode MS" w:hAnsi="Cambria" w:cs="Arial Unicode MS"/>
      <w:color w:val="000000"/>
      <w:sz w:val="16"/>
      <w:szCs w:val="16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39B"/>
    <w:rPr>
      <w:rFonts w:ascii="Cambria" w:eastAsia="Arial Unicode MS" w:hAnsi="Cambria" w:cs="Arial Unicode MS"/>
      <w:color w:val="000000"/>
      <w:sz w:val="16"/>
      <w:szCs w:val="16"/>
      <w:u w:color="000000"/>
      <w:bdr w:val="nil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8639B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F8639B"/>
  </w:style>
  <w:style w:type="character" w:styleId="Odwoaniedokomentarza">
    <w:name w:val="annotation reference"/>
    <w:basedOn w:val="Domylnaczcionkaakapitu"/>
    <w:uiPriority w:val="99"/>
    <w:semiHidden/>
    <w:unhideWhenUsed/>
    <w:rsid w:val="00CD7A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A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A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A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A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A0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27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ubjagiellonski.pl/publikacje/rzad-pod-lupa-ranking-polityk-publicznych-2019-2023/" TargetMode="External"/><Relationship Id="rId5" Type="http://schemas.openxmlformats.org/officeDocument/2006/relationships/hyperlink" Target="https://proste.ngo/nikt-ci-tyle-nie-da-co-ustawa-ci-obieca-czyli-o-aktywnosci-przewodniczacego-komitetu-ds-pozytku-publicznego/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2906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2024-05-23T10:59:00Z</dcterms:created>
  <dcterms:modified xsi:type="dcterms:W3CDTF">2024-05-23T10:59:00Z</dcterms:modified>
</cp:coreProperties>
</file>