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92DC0" w:rsidTr="00BC6412">
        <w:trPr>
          <w:trHeight w:val="552"/>
        </w:trPr>
        <w:tc>
          <w:tcPr>
            <w:tcW w:w="4606" w:type="dxa"/>
            <w:vAlign w:val="center"/>
          </w:tcPr>
          <w:p w:rsidR="00A92DC0" w:rsidRPr="00AD590B" w:rsidRDefault="00AD590B" w:rsidP="00BC6412">
            <w:pPr>
              <w:jc w:val="center"/>
              <w:rPr>
                <w:b/>
              </w:rPr>
            </w:pPr>
            <w:r w:rsidRPr="00AD590B">
              <w:rPr>
                <w:b/>
              </w:rPr>
              <w:t>MIESZKANIA TRENINGOWE</w:t>
            </w:r>
          </w:p>
        </w:tc>
        <w:tc>
          <w:tcPr>
            <w:tcW w:w="4606" w:type="dxa"/>
            <w:vAlign w:val="center"/>
          </w:tcPr>
          <w:p w:rsidR="00A92DC0" w:rsidRPr="00AD590B" w:rsidRDefault="00AD590B" w:rsidP="00BC6412">
            <w:pPr>
              <w:jc w:val="center"/>
              <w:rPr>
                <w:b/>
              </w:rPr>
            </w:pPr>
            <w:r w:rsidRPr="00AD590B">
              <w:rPr>
                <w:b/>
              </w:rPr>
              <w:t>NAJPIERW MIESZKANIE</w:t>
            </w:r>
          </w:p>
        </w:tc>
      </w:tr>
      <w:tr w:rsidR="00771A64" w:rsidTr="00BC6412">
        <w:tc>
          <w:tcPr>
            <w:tcW w:w="9212" w:type="dxa"/>
            <w:gridSpan w:val="2"/>
            <w:vAlign w:val="center"/>
          </w:tcPr>
          <w:p w:rsidR="00771A64" w:rsidRPr="00AD590B" w:rsidRDefault="00771A64" w:rsidP="00BC6412">
            <w:pPr>
              <w:jc w:val="center"/>
              <w:rPr>
                <w:b/>
              </w:rPr>
            </w:pPr>
            <w:r w:rsidRPr="00AD590B">
              <w:rPr>
                <w:b/>
              </w:rPr>
              <w:t>Osoba z doświadczeniem bezdomności jest wspierana podczas pobytu w mieszkaniu, a nie na ulicy, w pustostanie</w:t>
            </w:r>
            <w:r w:rsidR="00B535EF" w:rsidRPr="00AD590B">
              <w:rPr>
                <w:b/>
              </w:rPr>
              <w:t xml:space="preserve">, </w:t>
            </w:r>
            <w:r w:rsidRPr="00AD590B">
              <w:rPr>
                <w:b/>
              </w:rPr>
              <w:t>zbiorowej placówce typu noclegownia, schronisko, hostel, dom specjalistyczny.</w:t>
            </w:r>
          </w:p>
        </w:tc>
      </w:tr>
      <w:tr w:rsidR="00771A64" w:rsidTr="00A92DC0">
        <w:tc>
          <w:tcPr>
            <w:tcW w:w="4606" w:type="dxa"/>
          </w:tcPr>
          <w:p w:rsidR="00771A64" w:rsidRDefault="00771A64" w:rsidP="00771A64">
            <w:r>
              <w:t xml:space="preserve">Mieszkańcami są osoby, które udowodniły wcześniej w działaniu, że będą w stanie utrzymać się w mieszkaniu np. podjęły leczenie uzależnienia, utrzymują abstynencję, pracują, dobrze wydają zasiłki, współpracują z pracownikiem wspierającym. </w:t>
            </w:r>
          </w:p>
        </w:tc>
        <w:tc>
          <w:tcPr>
            <w:tcW w:w="4606" w:type="dxa"/>
          </w:tcPr>
          <w:p w:rsidR="00771A64" w:rsidRDefault="009915CE" w:rsidP="009915CE">
            <w:r>
              <w:t>Mieszkańcami są osoby</w:t>
            </w:r>
            <w:r w:rsidR="00771A64">
              <w:t>, które doświadczają długotrwałej bezdomności oraz kryzysów zdrowia psychicznego</w:t>
            </w:r>
            <w:r>
              <w:t xml:space="preserve">. Nie ma </w:t>
            </w:r>
            <w:r w:rsidR="00771A64">
              <w:t xml:space="preserve">warunków wstępnych dowodzących ich gotowości do bycia w mieszkaniu. </w:t>
            </w:r>
          </w:p>
        </w:tc>
      </w:tr>
      <w:tr w:rsidR="00B535EF" w:rsidTr="00BC6412">
        <w:tc>
          <w:tcPr>
            <w:tcW w:w="9212" w:type="dxa"/>
            <w:gridSpan w:val="2"/>
            <w:vAlign w:val="center"/>
          </w:tcPr>
          <w:p w:rsidR="00B535EF" w:rsidRPr="00AD590B" w:rsidRDefault="00B535EF" w:rsidP="00BC6412">
            <w:pPr>
              <w:jc w:val="center"/>
              <w:rPr>
                <w:b/>
              </w:rPr>
            </w:pPr>
            <w:r w:rsidRPr="00AD590B">
              <w:rPr>
                <w:b/>
              </w:rPr>
              <w:t xml:space="preserve">Zlokalizowane </w:t>
            </w:r>
            <w:r w:rsidR="00BC6412" w:rsidRPr="00AD590B">
              <w:rPr>
                <w:b/>
              </w:rPr>
              <w:t xml:space="preserve">w </w:t>
            </w:r>
            <w:r w:rsidRPr="00AD590B">
              <w:rPr>
                <w:b/>
              </w:rPr>
              <w:t>mieście, w środowisku, ale …</w:t>
            </w:r>
          </w:p>
        </w:tc>
      </w:tr>
      <w:tr w:rsidR="00B911DE" w:rsidTr="00A92DC0">
        <w:tc>
          <w:tcPr>
            <w:tcW w:w="4606" w:type="dxa"/>
          </w:tcPr>
          <w:p w:rsidR="00B911DE" w:rsidRDefault="00B535EF" w:rsidP="00BC6412">
            <w:r>
              <w:t xml:space="preserve">Czasem </w:t>
            </w:r>
            <w:r w:rsidR="00B911DE">
              <w:t>przy instytucjach np. na poddaszu</w:t>
            </w:r>
            <w:r>
              <w:t xml:space="preserve"> schroniska, </w:t>
            </w:r>
            <w:r w:rsidR="00BC6412">
              <w:t xml:space="preserve">w formie </w:t>
            </w:r>
            <w:r>
              <w:t>wydzielony</w:t>
            </w:r>
            <w:r w:rsidR="00BC6412">
              <w:t>ch</w:t>
            </w:r>
            <w:r>
              <w:t xml:space="preserve"> poko</w:t>
            </w:r>
            <w:r w:rsidR="00BC6412">
              <w:t>i</w:t>
            </w:r>
            <w:r>
              <w:t xml:space="preserve"> o lepszym dostępie do łazienki i kuchni w większym ośrodku, itd. </w:t>
            </w:r>
          </w:p>
        </w:tc>
        <w:tc>
          <w:tcPr>
            <w:tcW w:w="4606" w:type="dxa"/>
          </w:tcPr>
          <w:p w:rsidR="00B911DE" w:rsidRDefault="00B535EF" w:rsidP="00B535EF">
            <w:r>
              <w:t>R</w:t>
            </w:r>
            <w:r w:rsidR="00BE7179">
              <w:t xml:space="preserve">ozproszone w warunkach </w:t>
            </w:r>
            <w:r>
              <w:t>„</w:t>
            </w:r>
            <w:proofErr w:type="spellStart"/>
            <w:r w:rsidR="00BE7179">
              <w:t>miksu</w:t>
            </w:r>
            <w:proofErr w:type="spellEnd"/>
            <w:r w:rsidR="00BE7179">
              <w:t xml:space="preserve"> społecznego</w:t>
            </w:r>
            <w:r>
              <w:t>”</w:t>
            </w:r>
            <w:r w:rsidR="00BE7179">
              <w:t xml:space="preserve"> poza gettami socjalnymi, budynkami</w:t>
            </w:r>
            <w:r w:rsidR="00771A64">
              <w:t>,</w:t>
            </w:r>
            <w:r w:rsidR="00BE7179">
              <w:t xml:space="preserve"> w których większość lokatorów posiada problemy życiowe. </w:t>
            </w:r>
          </w:p>
        </w:tc>
      </w:tr>
      <w:tr w:rsidR="00B535EF" w:rsidTr="00BC6412">
        <w:tc>
          <w:tcPr>
            <w:tcW w:w="9212" w:type="dxa"/>
            <w:gridSpan w:val="2"/>
            <w:vAlign w:val="center"/>
          </w:tcPr>
          <w:p w:rsidR="00B535EF" w:rsidRPr="00AD590B" w:rsidRDefault="00B535EF" w:rsidP="00BC6412">
            <w:pPr>
              <w:jc w:val="center"/>
              <w:rPr>
                <w:b/>
              </w:rPr>
            </w:pPr>
            <w:r w:rsidRPr="00AD590B">
              <w:rPr>
                <w:b/>
              </w:rPr>
              <w:t>W samodzielnym mieszkaniu</w:t>
            </w:r>
            <w:r w:rsidR="00BC6412" w:rsidRPr="00AD590B">
              <w:rPr>
                <w:b/>
              </w:rPr>
              <w:t xml:space="preserve">: z </w:t>
            </w:r>
            <w:r w:rsidRPr="00AD590B">
              <w:rPr>
                <w:b/>
              </w:rPr>
              <w:t>kuchni</w:t>
            </w:r>
            <w:r w:rsidR="00BC6412" w:rsidRPr="00AD590B">
              <w:rPr>
                <w:b/>
              </w:rPr>
              <w:t>ą</w:t>
            </w:r>
            <w:r w:rsidRPr="00AD590B">
              <w:rPr>
                <w:b/>
              </w:rPr>
              <w:t xml:space="preserve"> lub aneks</w:t>
            </w:r>
            <w:r w:rsidR="00BC6412" w:rsidRPr="00AD590B">
              <w:rPr>
                <w:b/>
              </w:rPr>
              <w:t>em</w:t>
            </w:r>
            <w:r w:rsidRPr="00AD590B">
              <w:rPr>
                <w:b/>
              </w:rPr>
              <w:t xml:space="preserve"> kuchenny</w:t>
            </w:r>
            <w:r w:rsidR="00BC6412" w:rsidRPr="00AD590B">
              <w:rPr>
                <w:b/>
              </w:rPr>
              <w:t>m</w:t>
            </w:r>
            <w:r w:rsidRPr="00AD590B">
              <w:rPr>
                <w:b/>
              </w:rPr>
              <w:t>, łazienk</w:t>
            </w:r>
            <w:r w:rsidR="00BC6412" w:rsidRPr="00AD590B">
              <w:rPr>
                <w:b/>
              </w:rPr>
              <w:t>ą</w:t>
            </w:r>
            <w:r w:rsidRPr="00AD590B">
              <w:rPr>
                <w:b/>
              </w:rPr>
              <w:t xml:space="preserve"> z ubikacją, miejsce</w:t>
            </w:r>
            <w:r w:rsidR="00BC6412" w:rsidRPr="00AD590B">
              <w:rPr>
                <w:b/>
              </w:rPr>
              <w:t>m</w:t>
            </w:r>
            <w:r w:rsidRPr="00AD590B">
              <w:rPr>
                <w:b/>
              </w:rPr>
              <w:t xml:space="preserve"> do spania i spędzania czasu w ciągu dnia, oraz możliwością przechowywania rzeczy, ale …</w:t>
            </w:r>
          </w:p>
        </w:tc>
      </w:tr>
      <w:tr w:rsidR="00A92DC0" w:rsidTr="00A92DC0">
        <w:tc>
          <w:tcPr>
            <w:tcW w:w="4606" w:type="dxa"/>
          </w:tcPr>
          <w:p w:rsidR="00A92DC0" w:rsidRDefault="00B535EF" w:rsidP="002D40FC">
            <w:r>
              <w:t>Miesz</w:t>
            </w:r>
            <w:r w:rsidR="00955775">
              <w:t>kanie jest większe</w:t>
            </w:r>
            <w:r w:rsidR="002D40FC">
              <w:t xml:space="preserve"> i zbiorowe, </w:t>
            </w:r>
            <w:r>
              <w:t xml:space="preserve">kuchnia i łazienka są </w:t>
            </w:r>
            <w:r w:rsidR="002D40FC">
              <w:t>dzielone przez kilku mieszkańców</w:t>
            </w:r>
            <w:r>
              <w:t xml:space="preserve">, powszechne są wspólne sypialnie, zdarza się, że salon z aneksem kuchennym jest jednocześnie </w:t>
            </w:r>
            <w:r w:rsidR="009915CE">
              <w:t xml:space="preserve">czyjąś </w:t>
            </w:r>
            <w:r>
              <w:t>sypialnią.</w:t>
            </w:r>
            <w:r w:rsidR="00747319">
              <w:t xml:space="preserve"> </w:t>
            </w:r>
          </w:p>
        </w:tc>
        <w:tc>
          <w:tcPr>
            <w:tcW w:w="4606" w:type="dxa"/>
          </w:tcPr>
          <w:p w:rsidR="00A92DC0" w:rsidRDefault="00B535EF" w:rsidP="002D40FC">
            <w:r>
              <w:t>M</w:t>
            </w:r>
            <w:r w:rsidR="00747319">
              <w:t xml:space="preserve">ieszkanie </w:t>
            </w:r>
            <w:r>
              <w:t xml:space="preserve">jest </w:t>
            </w:r>
            <w:r w:rsidR="009915CE">
              <w:t xml:space="preserve">małe, </w:t>
            </w:r>
            <w:r>
              <w:t xml:space="preserve">samodzielne </w:t>
            </w:r>
            <w:r w:rsidR="00747319">
              <w:t xml:space="preserve">dla </w:t>
            </w:r>
            <w:r>
              <w:t xml:space="preserve">każdego </w:t>
            </w:r>
            <w:r w:rsidR="00747319">
              <w:t>uczestnika</w:t>
            </w:r>
            <w:r w:rsidR="002D40FC">
              <w:t>. W</w:t>
            </w:r>
            <w:r w:rsidR="00955775">
              <w:t xml:space="preserve"> praktyce w NM stosuje się mieszkania jednoosobowe</w:t>
            </w:r>
            <w:r w:rsidR="002D40FC">
              <w:t>,</w:t>
            </w:r>
            <w:r w:rsidR="009915CE">
              <w:t xml:space="preserve"> co wynika z możliwości i stanu zdrowia osób, którym ma </w:t>
            </w:r>
            <w:r w:rsidR="002D40FC">
              <w:t>ono służyć</w:t>
            </w:r>
            <w:r w:rsidR="00955775">
              <w:t xml:space="preserve">. </w:t>
            </w:r>
          </w:p>
        </w:tc>
      </w:tr>
      <w:tr w:rsidR="009915CE" w:rsidTr="009C170A">
        <w:tc>
          <w:tcPr>
            <w:tcW w:w="4606" w:type="dxa"/>
          </w:tcPr>
          <w:p w:rsidR="009915CE" w:rsidRDefault="002D40FC" w:rsidP="002D40FC">
            <w:r>
              <w:t>M</w:t>
            </w:r>
            <w:r w:rsidR="009915CE">
              <w:t>ieszkańc</w:t>
            </w:r>
            <w:r>
              <w:t>y mają ograniczony wpływ na to z kim mieszkają. O</w:t>
            </w:r>
            <w:r w:rsidR="009915CE">
              <w:t xml:space="preserve"> tym kto mieszka w danym mieszkaniu decyduje instytucja kwalifikująca do programu, prowadząca mieszkanie.</w:t>
            </w:r>
          </w:p>
        </w:tc>
        <w:tc>
          <w:tcPr>
            <w:tcW w:w="4606" w:type="dxa"/>
          </w:tcPr>
          <w:p w:rsidR="009915CE" w:rsidRDefault="002D40FC" w:rsidP="002D40FC">
            <w:r>
              <w:t xml:space="preserve">Mieszkańcy decydują o tym, czy będą dzielić mieszkanie z kimś np. </w:t>
            </w:r>
            <w:r w:rsidR="009915CE">
              <w:t xml:space="preserve">z bliską sobie osobą np. partnerką/em, na co osoba ta również się </w:t>
            </w:r>
            <w:r>
              <w:t>musi się zgodzić</w:t>
            </w:r>
            <w:r w:rsidR="009915CE">
              <w:t>.</w:t>
            </w:r>
            <w:r>
              <w:t xml:space="preserve"> W praktyce nie sprawdza się </w:t>
            </w:r>
            <w:proofErr w:type="spellStart"/>
            <w:r>
              <w:t>kohabitacja</w:t>
            </w:r>
            <w:proofErr w:type="spellEnd"/>
            <w:r>
              <w:t xml:space="preserve"> dwójki uczestników nie będących w związku. </w:t>
            </w:r>
          </w:p>
        </w:tc>
      </w:tr>
      <w:tr w:rsidR="009915CE" w:rsidRPr="009915CE" w:rsidTr="009915CE">
        <w:tc>
          <w:tcPr>
            <w:tcW w:w="9212" w:type="dxa"/>
            <w:gridSpan w:val="2"/>
            <w:vAlign w:val="center"/>
          </w:tcPr>
          <w:p w:rsidR="009915CE" w:rsidRPr="00AD590B" w:rsidRDefault="009915CE" w:rsidP="009915CE">
            <w:pPr>
              <w:jc w:val="center"/>
              <w:rPr>
                <w:b/>
              </w:rPr>
            </w:pPr>
            <w:r w:rsidRPr="00AD590B">
              <w:rPr>
                <w:b/>
              </w:rPr>
              <w:t>Długoterminowe, ale…</w:t>
            </w:r>
          </w:p>
        </w:tc>
      </w:tr>
      <w:tr w:rsidR="00A92DC0" w:rsidRPr="009915CE" w:rsidTr="00A92DC0">
        <w:tc>
          <w:tcPr>
            <w:tcW w:w="4606" w:type="dxa"/>
          </w:tcPr>
          <w:p w:rsidR="00A92DC0" w:rsidRPr="009915CE" w:rsidRDefault="009F69B2" w:rsidP="009915CE">
            <w:r w:rsidRPr="009915CE">
              <w:t xml:space="preserve">Czasowe, </w:t>
            </w:r>
            <w:r w:rsidR="00955775" w:rsidRPr="009915CE">
              <w:t xml:space="preserve">dające </w:t>
            </w:r>
            <w:r w:rsidRPr="009915CE">
              <w:t xml:space="preserve">możliwość pobytu przez określony czas </w:t>
            </w:r>
            <w:r w:rsidR="00BE7179" w:rsidRPr="009915CE">
              <w:t>potrzebny na trening</w:t>
            </w:r>
            <w:r w:rsidR="00955775" w:rsidRPr="009915CE">
              <w:t xml:space="preserve"> przygotowujący do późniejszej samodzielności. </w:t>
            </w:r>
          </w:p>
        </w:tc>
        <w:tc>
          <w:tcPr>
            <w:tcW w:w="4606" w:type="dxa"/>
          </w:tcPr>
          <w:p w:rsidR="00A92DC0" w:rsidRPr="009915CE" w:rsidRDefault="00955775" w:rsidP="009915CE">
            <w:r w:rsidRPr="009915CE">
              <w:t xml:space="preserve">Bezterminowe, dostępne tak długo jak uczestnik potrzebuje. Niezależność pobytu w mieszkaniu od projektów, organizacji, </w:t>
            </w:r>
            <w:proofErr w:type="gramStart"/>
            <w:r w:rsidRPr="009915CE">
              <w:t>postępów  w</w:t>
            </w:r>
            <w:proofErr w:type="gramEnd"/>
            <w:r w:rsidRPr="009915CE">
              <w:t xml:space="preserve"> leczeniu jest </w:t>
            </w:r>
            <w:r w:rsidR="009915CE">
              <w:t>podstawą</w:t>
            </w:r>
            <w:r w:rsidRPr="009915CE">
              <w:t xml:space="preserve"> metod</w:t>
            </w:r>
            <w:r w:rsidR="009915CE">
              <w:t>y</w:t>
            </w:r>
            <w:r w:rsidRPr="009915CE">
              <w:t xml:space="preserve"> NM.  </w:t>
            </w:r>
          </w:p>
        </w:tc>
      </w:tr>
      <w:tr w:rsidR="002D40FC" w:rsidTr="002D40FC">
        <w:tc>
          <w:tcPr>
            <w:tcW w:w="9212" w:type="dxa"/>
            <w:gridSpan w:val="2"/>
            <w:vAlign w:val="center"/>
          </w:tcPr>
          <w:p w:rsidR="002D40FC" w:rsidRPr="00AD590B" w:rsidRDefault="002D40FC" w:rsidP="002D40FC">
            <w:pPr>
              <w:jc w:val="center"/>
              <w:rPr>
                <w:b/>
              </w:rPr>
            </w:pPr>
            <w:r w:rsidRPr="00AD590B">
              <w:rPr>
                <w:b/>
              </w:rPr>
              <w:t>Zobowiązujące mieszkańców do przestrzegania warunków pobytu, ale …</w:t>
            </w:r>
          </w:p>
        </w:tc>
      </w:tr>
      <w:tr w:rsidR="00A92DC0" w:rsidTr="00A92DC0">
        <w:tc>
          <w:tcPr>
            <w:tcW w:w="4606" w:type="dxa"/>
          </w:tcPr>
          <w:p w:rsidR="00A92DC0" w:rsidRDefault="009F69B2" w:rsidP="002D40FC">
            <w:r>
              <w:t>Warunki pobytu obejmują kwestie związane</w:t>
            </w:r>
            <w:r w:rsidR="00955775">
              <w:t xml:space="preserve"> z postępami w „wychodzeniu z bezdomności” m.in. obowiąz</w:t>
            </w:r>
            <w:r w:rsidR="002D40FC">
              <w:t>ek</w:t>
            </w:r>
            <w:r w:rsidR="00955775">
              <w:t xml:space="preserve"> </w:t>
            </w:r>
            <w:r>
              <w:t>abstynencji pod sankcją usunięcia z lokalu</w:t>
            </w:r>
            <w:r w:rsidR="00955775">
              <w:t>, liczeni</w:t>
            </w:r>
            <w:r w:rsidR="002D40FC">
              <w:t>e</w:t>
            </w:r>
            <w:r w:rsidR="00955775">
              <w:t xml:space="preserve"> się z niezapowiedzianymi wizytami pracowników, </w:t>
            </w:r>
            <w:r>
              <w:t>współpracę z pracownikiem.</w:t>
            </w:r>
          </w:p>
        </w:tc>
        <w:tc>
          <w:tcPr>
            <w:tcW w:w="4606" w:type="dxa"/>
          </w:tcPr>
          <w:p w:rsidR="00A92DC0" w:rsidRDefault="009F69B2" w:rsidP="002D40FC">
            <w:r>
              <w:t xml:space="preserve">Warunki pobytu są </w:t>
            </w:r>
            <w:r w:rsidRPr="002D40FC">
              <w:rPr>
                <w:i/>
              </w:rPr>
              <w:t>stricte</w:t>
            </w:r>
            <w:r>
              <w:t xml:space="preserve"> lokatorskie i obejmują utrzymywanie kontaktu (nie współprac</w:t>
            </w:r>
            <w:r w:rsidR="002D40FC">
              <w:t>ę</w:t>
            </w:r>
            <w:r>
              <w:t xml:space="preserve">) z pracownikiem wspierającym, przeznaczanie do 30% dochodów na poczet kosztów mieszkania, </w:t>
            </w:r>
            <w:r w:rsidR="002D40FC">
              <w:t xml:space="preserve">przestrzeganie </w:t>
            </w:r>
            <w:r>
              <w:t xml:space="preserve">zasad współżycia sąsiedzkiego, oraz </w:t>
            </w:r>
            <w:proofErr w:type="gramStart"/>
            <w:r>
              <w:t>nie udostępnianie</w:t>
            </w:r>
            <w:proofErr w:type="gramEnd"/>
            <w:r>
              <w:t xml:space="preserve"> lokalu osobom</w:t>
            </w:r>
            <w:r w:rsidR="00955775">
              <w:t xml:space="preserve"> trzecim celem stałego pobytu. </w:t>
            </w:r>
          </w:p>
        </w:tc>
      </w:tr>
      <w:tr w:rsidR="002D40FC" w:rsidTr="002D40FC">
        <w:tc>
          <w:tcPr>
            <w:tcW w:w="9212" w:type="dxa"/>
            <w:gridSpan w:val="2"/>
            <w:vAlign w:val="center"/>
          </w:tcPr>
          <w:p w:rsidR="002D40FC" w:rsidRPr="00AD590B" w:rsidRDefault="002D40FC" w:rsidP="002D40FC">
            <w:pPr>
              <w:jc w:val="center"/>
              <w:rPr>
                <w:b/>
              </w:rPr>
            </w:pPr>
            <w:bookmarkStart w:id="0" w:name="_GoBack" w:colFirst="0" w:colLast="0"/>
            <w:r w:rsidRPr="00AD590B">
              <w:rPr>
                <w:b/>
              </w:rPr>
              <w:t>Zapewniające wsparcie, ale …</w:t>
            </w:r>
          </w:p>
        </w:tc>
      </w:tr>
      <w:bookmarkEnd w:id="0"/>
      <w:tr w:rsidR="009F69B2" w:rsidTr="00A92DC0">
        <w:tc>
          <w:tcPr>
            <w:tcW w:w="4606" w:type="dxa"/>
          </w:tcPr>
          <w:p w:rsidR="009F69B2" w:rsidRDefault="009F69B2" w:rsidP="00955775">
            <w:r>
              <w:t xml:space="preserve">Praca wspierająca polega na </w:t>
            </w:r>
            <w:r w:rsidR="00BE7179">
              <w:t xml:space="preserve">współpracy w </w:t>
            </w:r>
            <w:r>
              <w:t>realizacji kontraktu/umowy zawieranej między uczestnikiem</w:t>
            </w:r>
            <w:r w:rsidR="00955775">
              <w:t xml:space="preserve"> </w:t>
            </w:r>
            <w:r>
              <w:t xml:space="preserve">a </w:t>
            </w:r>
            <w:r w:rsidR="00955775">
              <w:t>pracownikiem wspierającym</w:t>
            </w:r>
            <w:r w:rsidR="00BE7179">
              <w:t>,</w:t>
            </w:r>
            <w:r>
              <w:t xml:space="preserve"> w którym </w:t>
            </w:r>
            <w:r w:rsidR="00BE7179">
              <w:t xml:space="preserve">uczestnik </w:t>
            </w:r>
            <w:r>
              <w:t>zobowiązuje się do załatwienia określonych spraw koniecznych do wyjścia z bezdomności</w:t>
            </w:r>
            <w:r w:rsidR="002D40FC">
              <w:t xml:space="preserve"> np. skorzystania z różnych usług wskazanych przez pracownika.</w:t>
            </w:r>
          </w:p>
        </w:tc>
        <w:tc>
          <w:tcPr>
            <w:tcW w:w="4606" w:type="dxa"/>
          </w:tcPr>
          <w:p w:rsidR="009F69B2" w:rsidRDefault="009F69B2" w:rsidP="00BC6412">
            <w:r>
              <w:t xml:space="preserve">Praca </w:t>
            </w:r>
            <w:r w:rsidR="00747319">
              <w:t xml:space="preserve">wspierająca prowadzona jest </w:t>
            </w:r>
            <w:r w:rsidR="00955775">
              <w:t xml:space="preserve">w oparciu o </w:t>
            </w:r>
            <w:r w:rsidR="00747319">
              <w:t>cel</w:t>
            </w:r>
            <w:r w:rsidR="00955775">
              <w:t xml:space="preserve">e </w:t>
            </w:r>
            <w:r w:rsidR="00747319">
              <w:t xml:space="preserve">uczestnika, który jest wspierany w </w:t>
            </w:r>
            <w:r w:rsidR="00BC6412">
              <w:t xml:space="preserve">spontanicznym ich nazwaniu, </w:t>
            </w:r>
            <w:r w:rsidR="00747319">
              <w:t>zrozumieniu jakie ma mocne i słabe strony w ich osiągnięciu i zrobieniu planu ich osiągnięcia.</w:t>
            </w:r>
            <w:r w:rsidR="00BC6412">
              <w:t xml:space="preserve"> Tylko p</w:t>
            </w:r>
            <w:r w:rsidR="00747319">
              <w:t>racownik wspierający</w:t>
            </w:r>
            <w:r w:rsidR="00BC6412">
              <w:t>,</w:t>
            </w:r>
            <w:r w:rsidR="00747319">
              <w:t xml:space="preserve"> </w:t>
            </w:r>
            <w:r w:rsidR="00BC6412">
              <w:t xml:space="preserve">uczestnik nie, </w:t>
            </w:r>
            <w:r w:rsidR="00747319">
              <w:t>zobowiąz</w:t>
            </w:r>
            <w:r w:rsidR="00955775">
              <w:t xml:space="preserve">uje się do konkretnych działań </w:t>
            </w:r>
            <w:r w:rsidR="00BC6412">
              <w:t xml:space="preserve">na rzecz planu </w:t>
            </w:r>
            <w:r w:rsidR="00BE7179">
              <w:t>uczestnika.</w:t>
            </w:r>
            <w:r w:rsidR="00747319">
              <w:t xml:space="preserve"> </w:t>
            </w:r>
          </w:p>
        </w:tc>
      </w:tr>
    </w:tbl>
    <w:p w:rsidR="00BE7179" w:rsidRPr="00A92DC0" w:rsidRDefault="00BE7179" w:rsidP="00A92DC0"/>
    <w:sectPr w:rsidR="00BE7179" w:rsidRPr="00A92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bas Neue">
    <w:altName w:val="Calibri"/>
    <w:charset w:val="EE"/>
    <w:family w:val="swiss"/>
    <w:pitch w:val="variable"/>
    <w:sig w:usb0="A000022F" w:usb1="1000005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DC0"/>
    <w:rsid w:val="00164339"/>
    <w:rsid w:val="002D40FC"/>
    <w:rsid w:val="00486711"/>
    <w:rsid w:val="00616B50"/>
    <w:rsid w:val="00747319"/>
    <w:rsid w:val="00771A64"/>
    <w:rsid w:val="008427E6"/>
    <w:rsid w:val="00921FAF"/>
    <w:rsid w:val="00955775"/>
    <w:rsid w:val="009915CE"/>
    <w:rsid w:val="009B251B"/>
    <w:rsid w:val="009F69B2"/>
    <w:rsid w:val="00A92DC0"/>
    <w:rsid w:val="00AD590B"/>
    <w:rsid w:val="00B535EF"/>
    <w:rsid w:val="00B911DE"/>
    <w:rsid w:val="00BC6412"/>
    <w:rsid w:val="00BE7179"/>
    <w:rsid w:val="00D07C44"/>
    <w:rsid w:val="00DD0CE2"/>
    <w:rsid w:val="00F0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B221BF-4C6C-4D97-8EA9-34B738317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8427E6"/>
    <w:pPr>
      <w:keepNext/>
      <w:keepLines/>
      <w:spacing w:before="240" w:after="120"/>
      <w:outlineLvl w:val="1"/>
    </w:pPr>
    <w:rPr>
      <w:rFonts w:ascii="Bebas Neue" w:eastAsiaTheme="majorEastAsia" w:hAnsi="Bebas Neue" w:cs="Arial"/>
      <w:bCs/>
      <w:color w:val="1F4E46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8427E6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427E6"/>
    <w:rPr>
      <w:rFonts w:ascii="Bebas Neue" w:eastAsiaTheme="majorEastAsia" w:hAnsi="Bebas Neue" w:cs="Arial"/>
      <w:bCs/>
      <w:color w:val="1F4E46"/>
      <w:sz w:val="32"/>
      <w:szCs w:val="26"/>
    </w:rPr>
  </w:style>
  <w:style w:type="paragraph" w:customStyle="1" w:styleId="podpisautora">
    <w:name w:val="podpis autora"/>
    <w:basedOn w:val="Normalny"/>
    <w:link w:val="podpisautoraZnak"/>
    <w:autoRedefine/>
    <w:qFormat/>
    <w:rsid w:val="008427E6"/>
    <w:pPr>
      <w:spacing w:after="0" w:line="240" w:lineRule="auto"/>
    </w:pPr>
    <w:rPr>
      <w:i/>
      <w:sz w:val="24"/>
    </w:rPr>
  </w:style>
  <w:style w:type="character" w:customStyle="1" w:styleId="podpisautoraZnak">
    <w:name w:val="podpis autora Znak"/>
    <w:basedOn w:val="Domylnaczcionkaakapitu"/>
    <w:link w:val="podpisautora"/>
    <w:rsid w:val="008427E6"/>
    <w:rPr>
      <w:i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8427E6"/>
    <w:rPr>
      <w:rFonts w:eastAsiaTheme="majorEastAsia" w:cstheme="majorBidi"/>
      <w:b/>
      <w:bCs/>
      <w:sz w:val="26"/>
    </w:rPr>
  </w:style>
  <w:style w:type="table" w:styleId="Tabela-Siatka">
    <w:name w:val="Table Grid"/>
    <w:basedOn w:val="Standardowy"/>
    <w:uiPriority w:val="59"/>
    <w:rsid w:val="00A92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BE7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498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Wygnańska</dc:creator>
  <cp:lastModifiedBy>Magda Dobranowska</cp:lastModifiedBy>
  <cp:revision>2</cp:revision>
  <dcterms:created xsi:type="dcterms:W3CDTF">2023-05-08T14:24:00Z</dcterms:created>
  <dcterms:modified xsi:type="dcterms:W3CDTF">2023-05-08T14:24:00Z</dcterms:modified>
</cp:coreProperties>
</file>