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3F98" w14:textId="00F90E01" w:rsidR="004D5EFE" w:rsidRDefault="004D5EFE" w:rsidP="00EA246E">
      <w:pPr>
        <w:spacing w:after="0" w:line="240" w:lineRule="auto"/>
        <w:jc w:val="right"/>
        <w:rPr>
          <w:lang w:val="pl-PL"/>
        </w:rPr>
      </w:pPr>
      <w:r w:rsidRPr="006D62A2">
        <w:rPr>
          <w:lang w:val="pl-PL"/>
        </w:rPr>
        <w:t xml:space="preserve">Gliwice, </w:t>
      </w:r>
      <w:r w:rsidR="000708E1">
        <w:rPr>
          <w:lang w:val="pl-PL"/>
        </w:rPr>
        <w:t>20</w:t>
      </w:r>
      <w:r w:rsidR="00A97F5D">
        <w:rPr>
          <w:lang w:val="pl-PL"/>
        </w:rPr>
        <w:t xml:space="preserve"> lutego</w:t>
      </w:r>
      <w:r w:rsidR="000277C5" w:rsidRPr="006D62A2">
        <w:rPr>
          <w:lang w:val="pl-PL"/>
        </w:rPr>
        <w:t xml:space="preserve"> 2023 r.</w:t>
      </w:r>
    </w:p>
    <w:p w14:paraId="7996A7D8" w14:textId="77777777" w:rsidR="007670D4" w:rsidRDefault="007670D4" w:rsidP="006D62A2">
      <w:pPr>
        <w:spacing w:after="0" w:line="240" w:lineRule="auto"/>
        <w:rPr>
          <w:b/>
          <w:bCs/>
          <w:color w:val="1F4E79" w:themeColor="accent1" w:themeShade="80"/>
          <w:lang w:val="pl-PL"/>
        </w:rPr>
      </w:pPr>
    </w:p>
    <w:p w14:paraId="7D6F5C94" w14:textId="77777777" w:rsidR="007670D4" w:rsidRDefault="007670D4" w:rsidP="006D62A2">
      <w:pPr>
        <w:spacing w:after="0" w:line="240" w:lineRule="auto"/>
        <w:rPr>
          <w:b/>
          <w:bCs/>
          <w:color w:val="1F4E79" w:themeColor="accent1" w:themeShade="80"/>
          <w:lang w:val="pl-PL"/>
        </w:rPr>
      </w:pPr>
    </w:p>
    <w:p w14:paraId="0789AAD7" w14:textId="77777777" w:rsidR="007670D4" w:rsidRDefault="007670D4" w:rsidP="006D62A2">
      <w:pPr>
        <w:spacing w:after="0" w:line="240" w:lineRule="auto"/>
        <w:rPr>
          <w:b/>
          <w:bCs/>
          <w:color w:val="1F4E79" w:themeColor="accent1" w:themeShade="80"/>
          <w:lang w:val="pl-PL"/>
        </w:rPr>
      </w:pPr>
    </w:p>
    <w:p w14:paraId="499C4A97" w14:textId="22C32887" w:rsidR="000708E1" w:rsidRPr="00F95DF2" w:rsidRDefault="00F10F68" w:rsidP="000708E1">
      <w:pPr>
        <w:tabs>
          <w:tab w:val="left" w:pos="930"/>
        </w:tabs>
        <w:spacing w:after="0" w:line="240" w:lineRule="auto"/>
        <w:rPr>
          <w:b/>
          <w:bCs/>
          <w:noProof/>
          <w:color w:val="2E74B5" w:themeColor="accent1" w:themeShade="BF"/>
          <w:lang w:val="pl-PL"/>
        </w:rPr>
      </w:pPr>
      <w:r w:rsidRPr="00F95DF2">
        <w:rPr>
          <w:b/>
          <w:bCs/>
          <w:noProof/>
          <w:color w:val="2E74B5" w:themeColor="accent1" w:themeShade="BF"/>
          <w:lang w:val="pl-PL"/>
        </w:rPr>
        <w:t>ODEA Park w Gdańsku z precertyfikatem ZIELONY DOM</w:t>
      </w:r>
    </w:p>
    <w:p w14:paraId="0BE66F48" w14:textId="77777777" w:rsidR="000708E1" w:rsidRPr="00F95DF2" w:rsidRDefault="000708E1" w:rsidP="000708E1">
      <w:pPr>
        <w:tabs>
          <w:tab w:val="left" w:pos="930"/>
        </w:tabs>
        <w:spacing w:after="0" w:line="240" w:lineRule="auto"/>
        <w:rPr>
          <w:b/>
          <w:bCs/>
          <w:noProof/>
          <w:color w:val="2E74B5" w:themeColor="accent1" w:themeShade="BF"/>
          <w:lang w:val="pl-PL"/>
        </w:rPr>
      </w:pPr>
    </w:p>
    <w:p w14:paraId="2247CA44" w14:textId="08861C0D" w:rsidR="000708E1" w:rsidRPr="001973CE" w:rsidRDefault="008F7797" w:rsidP="001F258A">
      <w:pPr>
        <w:spacing w:after="0" w:line="240" w:lineRule="auto"/>
        <w:rPr>
          <w:b/>
          <w:bCs/>
          <w:noProof/>
          <w:lang w:val="pl-PL"/>
        </w:rPr>
      </w:pPr>
      <w:r>
        <w:rPr>
          <w:b/>
          <w:bCs/>
          <w:noProof/>
          <w:lang w:val="pl-PL"/>
        </w:rPr>
        <w:t xml:space="preserve">W lutym 2023 r. </w:t>
      </w:r>
      <w:r w:rsidR="000708E1" w:rsidRPr="001973CE">
        <w:rPr>
          <w:b/>
          <w:bCs/>
          <w:noProof/>
          <w:lang w:val="pl-PL"/>
        </w:rPr>
        <w:t>Polskie Stowarzyszenie Budownictwa Ekologicznego PLGBC przyznało precertyfikat ZIELONY DOM dla inwestycji mieszkaniowej wielorodzinnej O</w:t>
      </w:r>
      <w:r w:rsidR="002C493F">
        <w:rPr>
          <w:b/>
          <w:bCs/>
          <w:noProof/>
          <w:lang w:val="pl-PL"/>
        </w:rPr>
        <w:t>DEA</w:t>
      </w:r>
      <w:r w:rsidR="000708E1" w:rsidRPr="001973CE">
        <w:rPr>
          <w:b/>
          <w:bCs/>
          <w:noProof/>
          <w:lang w:val="pl-PL"/>
        </w:rPr>
        <w:t xml:space="preserve"> Park w Gdańsku</w:t>
      </w:r>
      <w:r w:rsidR="00417CFE">
        <w:rPr>
          <w:b/>
          <w:bCs/>
          <w:noProof/>
          <w:lang w:val="pl-PL"/>
        </w:rPr>
        <w:t>,</w:t>
      </w:r>
      <w:r w:rsidR="000708E1" w:rsidRPr="001973CE">
        <w:rPr>
          <w:b/>
          <w:bCs/>
          <w:noProof/>
          <w:lang w:val="pl-PL"/>
        </w:rPr>
        <w:t xml:space="preserve"> realizowanej przez Y</w:t>
      </w:r>
      <w:r w:rsidR="00BF53F1">
        <w:rPr>
          <w:b/>
          <w:bCs/>
          <w:noProof/>
          <w:lang w:val="pl-PL"/>
        </w:rPr>
        <w:t>areal</w:t>
      </w:r>
      <w:r w:rsidR="000708E1" w:rsidRPr="001973CE">
        <w:rPr>
          <w:b/>
          <w:bCs/>
          <w:noProof/>
          <w:lang w:val="pl-PL"/>
        </w:rPr>
        <w:t xml:space="preserve"> Polska. </w:t>
      </w:r>
      <w:r w:rsidR="00417CFE">
        <w:rPr>
          <w:b/>
          <w:bCs/>
          <w:noProof/>
          <w:lang w:val="pl-PL"/>
        </w:rPr>
        <w:t>Jest to</w:t>
      </w:r>
      <w:r w:rsidR="00BF53F1" w:rsidRPr="00BF53F1">
        <w:rPr>
          <w:b/>
          <w:bCs/>
          <w:noProof/>
          <w:lang w:val="pl-PL"/>
        </w:rPr>
        <w:t xml:space="preserve"> pierwszy budynek wielorodzinny objęty </w:t>
      </w:r>
      <w:r w:rsidR="00BF53F1">
        <w:rPr>
          <w:b/>
          <w:bCs/>
          <w:noProof/>
          <w:lang w:val="pl-PL"/>
        </w:rPr>
        <w:t xml:space="preserve">procedurą precertyfikacyjną w tym systemie, który po </w:t>
      </w:r>
      <w:r w:rsidR="000708E1" w:rsidRPr="001973CE">
        <w:rPr>
          <w:b/>
          <w:bCs/>
          <w:noProof/>
          <w:lang w:val="pl-PL"/>
        </w:rPr>
        <w:t xml:space="preserve">zakończonym procesie inwestycyjnym </w:t>
      </w:r>
      <w:r w:rsidR="00417CFE">
        <w:rPr>
          <w:b/>
          <w:bCs/>
          <w:noProof/>
          <w:lang w:val="pl-PL"/>
        </w:rPr>
        <w:t>może</w:t>
      </w:r>
      <w:r w:rsidR="000708E1" w:rsidRPr="001973CE">
        <w:rPr>
          <w:b/>
          <w:bCs/>
          <w:noProof/>
          <w:lang w:val="pl-PL"/>
        </w:rPr>
        <w:t xml:space="preserve"> otrzyma</w:t>
      </w:r>
      <w:r w:rsidR="00417CFE">
        <w:rPr>
          <w:b/>
          <w:bCs/>
          <w:noProof/>
          <w:lang w:val="pl-PL"/>
        </w:rPr>
        <w:t>ć</w:t>
      </w:r>
      <w:r w:rsidR="000708E1" w:rsidRPr="001973CE">
        <w:rPr>
          <w:b/>
          <w:bCs/>
          <w:noProof/>
          <w:lang w:val="pl-PL"/>
        </w:rPr>
        <w:t xml:space="preserve"> certyfikat ZIELONY DOM</w:t>
      </w:r>
      <w:r w:rsidR="00BF53F1">
        <w:rPr>
          <w:b/>
          <w:bCs/>
          <w:noProof/>
          <w:lang w:val="pl-PL"/>
        </w:rPr>
        <w:t xml:space="preserve">. </w:t>
      </w:r>
      <w:r w:rsidR="0000695B">
        <w:rPr>
          <w:b/>
          <w:bCs/>
          <w:noProof/>
          <w:lang w:val="pl-PL"/>
        </w:rPr>
        <w:t xml:space="preserve">Proces precertyfikacji </w:t>
      </w:r>
      <w:r>
        <w:rPr>
          <w:b/>
          <w:bCs/>
          <w:noProof/>
          <w:lang w:val="pl-PL"/>
        </w:rPr>
        <w:t>inwestycji prowadzony jest pilota</w:t>
      </w:r>
      <w:r w:rsidR="008269A6">
        <w:rPr>
          <w:b/>
          <w:bCs/>
          <w:noProof/>
          <w:lang w:val="pl-PL"/>
        </w:rPr>
        <w:t>ż</w:t>
      </w:r>
      <w:r>
        <w:rPr>
          <w:b/>
          <w:bCs/>
          <w:noProof/>
          <w:lang w:val="pl-PL"/>
        </w:rPr>
        <w:t xml:space="preserve">owo w ramach projektu SMARTER Finance for Families. </w:t>
      </w:r>
    </w:p>
    <w:p w14:paraId="37275384" w14:textId="77777777" w:rsidR="000708E1" w:rsidRPr="001973CE" w:rsidRDefault="000708E1" w:rsidP="000708E1">
      <w:pPr>
        <w:tabs>
          <w:tab w:val="left" w:pos="930"/>
        </w:tabs>
        <w:spacing w:after="0" w:line="240" w:lineRule="auto"/>
        <w:rPr>
          <w:b/>
          <w:bCs/>
          <w:noProof/>
          <w:lang w:val="pl-PL"/>
        </w:rPr>
      </w:pPr>
    </w:p>
    <w:p w14:paraId="6C5634CF" w14:textId="7C8E79E8" w:rsidR="00866CF6" w:rsidRPr="00866CF6" w:rsidRDefault="000708E1" w:rsidP="000708E1">
      <w:pPr>
        <w:spacing w:after="0" w:line="240" w:lineRule="auto"/>
        <w:jc w:val="both"/>
        <w:rPr>
          <w:noProof/>
          <w:lang w:val="pl-PL"/>
        </w:rPr>
      </w:pPr>
      <w:r w:rsidRPr="00866CF6">
        <w:rPr>
          <w:noProof/>
          <w:lang w:val="pl-PL"/>
        </w:rPr>
        <w:t xml:space="preserve">W ramach </w:t>
      </w:r>
      <w:r w:rsidR="00866CF6" w:rsidRPr="00866CF6">
        <w:rPr>
          <w:noProof/>
          <w:lang w:val="pl-PL"/>
        </w:rPr>
        <w:t xml:space="preserve">precertyfikacji </w:t>
      </w:r>
      <w:r w:rsidRPr="00866CF6">
        <w:rPr>
          <w:noProof/>
          <w:lang w:val="pl-PL"/>
        </w:rPr>
        <w:t xml:space="preserve">ZIELONY DOM, Polskie Stowarzyszenie Budownictwa Ekologicznego PLGBC poddało ocenie projektowej </w:t>
      </w:r>
      <w:r w:rsidR="008269A6">
        <w:rPr>
          <w:noProof/>
          <w:lang w:val="pl-PL"/>
        </w:rPr>
        <w:t xml:space="preserve">realizowane przez Yareal Polska </w:t>
      </w:r>
      <w:r w:rsidR="004C5CE8">
        <w:rPr>
          <w:noProof/>
          <w:lang w:val="pl-PL"/>
        </w:rPr>
        <w:t xml:space="preserve">w Gdańsku </w:t>
      </w:r>
      <w:r w:rsidR="00E231A0">
        <w:rPr>
          <w:noProof/>
          <w:lang w:val="pl-PL"/>
        </w:rPr>
        <w:t xml:space="preserve">osiedle </w:t>
      </w:r>
      <w:r w:rsidR="0000695B">
        <w:rPr>
          <w:noProof/>
          <w:lang w:val="pl-PL"/>
        </w:rPr>
        <w:t xml:space="preserve">ODEA Park . Inwestycja obejmuje 120 </w:t>
      </w:r>
      <w:r w:rsidR="00A8407C">
        <w:rPr>
          <w:noProof/>
          <w:lang w:val="pl-PL"/>
        </w:rPr>
        <w:t xml:space="preserve">apartamentów </w:t>
      </w:r>
      <w:r w:rsidR="0000695B">
        <w:rPr>
          <w:noProof/>
          <w:lang w:val="pl-PL"/>
        </w:rPr>
        <w:t>w 5 budynk</w:t>
      </w:r>
      <w:r w:rsidR="004C5CE8">
        <w:rPr>
          <w:noProof/>
          <w:lang w:val="pl-PL"/>
        </w:rPr>
        <w:t>a</w:t>
      </w:r>
      <w:r w:rsidR="0000695B">
        <w:rPr>
          <w:noProof/>
          <w:lang w:val="pl-PL"/>
        </w:rPr>
        <w:t>ch o łącznej powierzchni mieszk</w:t>
      </w:r>
      <w:r w:rsidR="004C5CE8">
        <w:rPr>
          <w:noProof/>
          <w:lang w:val="pl-PL"/>
        </w:rPr>
        <w:t>a</w:t>
      </w:r>
      <w:r w:rsidR="0000695B">
        <w:rPr>
          <w:noProof/>
          <w:lang w:val="pl-PL"/>
        </w:rPr>
        <w:t>lnej ok 7200 m</w:t>
      </w:r>
      <w:r w:rsidR="0000695B" w:rsidRPr="007D61CB">
        <w:rPr>
          <w:noProof/>
          <w:vertAlign w:val="superscript"/>
          <w:lang w:val="pl-PL"/>
        </w:rPr>
        <w:t>2</w:t>
      </w:r>
      <w:r w:rsidR="0000695B">
        <w:rPr>
          <w:noProof/>
          <w:lang w:val="pl-PL"/>
        </w:rPr>
        <w:t xml:space="preserve">. </w:t>
      </w:r>
    </w:p>
    <w:p w14:paraId="2A0534F2" w14:textId="3C97F91F" w:rsidR="000708E1" w:rsidRPr="00016EB8" w:rsidRDefault="00016EB8" w:rsidP="000708E1">
      <w:pPr>
        <w:spacing w:after="0" w:line="240" w:lineRule="auto"/>
        <w:jc w:val="both"/>
        <w:rPr>
          <w:noProof/>
          <w:lang w:val="pl-PL"/>
        </w:rPr>
      </w:pPr>
      <w:r w:rsidRPr="00016EB8">
        <w:rPr>
          <w:noProof/>
          <w:lang w:val="pl-PL"/>
        </w:rPr>
        <w:t xml:space="preserve">Architektem prowadzącym </w:t>
      </w:r>
      <w:r w:rsidR="0000695B">
        <w:rPr>
          <w:noProof/>
          <w:lang w:val="pl-PL"/>
        </w:rPr>
        <w:t>jest</w:t>
      </w:r>
      <w:r w:rsidR="0000695B" w:rsidRPr="00016EB8">
        <w:rPr>
          <w:noProof/>
          <w:lang w:val="pl-PL"/>
        </w:rPr>
        <w:t xml:space="preserve"> </w:t>
      </w:r>
      <w:r w:rsidRPr="00016EB8">
        <w:rPr>
          <w:noProof/>
          <w:lang w:val="pl-PL"/>
        </w:rPr>
        <w:t xml:space="preserve">pracownia </w:t>
      </w:r>
      <w:r>
        <w:t>ARCH-DECO Sp. z o.</w:t>
      </w:r>
      <w:r w:rsidR="00A63C9C">
        <w:t xml:space="preserve"> </w:t>
      </w:r>
      <w:r>
        <w:t>o.</w:t>
      </w:r>
    </w:p>
    <w:p w14:paraId="7ABBCD5C" w14:textId="6181994D" w:rsidR="000708E1" w:rsidRDefault="0000695B" w:rsidP="000708E1">
      <w:pPr>
        <w:spacing w:after="0" w:line="240" w:lineRule="auto"/>
        <w:jc w:val="both"/>
        <w:rPr>
          <w:noProof/>
          <w:lang w:val="pl-PL"/>
        </w:rPr>
      </w:pPr>
      <w:r>
        <w:rPr>
          <w:noProof/>
          <w:lang w:val="pl-PL"/>
        </w:rPr>
        <w:t>Proces</w:t>
      </w:r>
      <w:r w:rsidRPr="001973CE">
        <w:rPr>
          <w:noProof/>
          <w:lang w:val="pl-PL"/>
        </w:rPr>
        <w:t xml:space="preserve"> </w:t>
      </w:r>
      <w:r w:rsidR="000708E1" w:rsidRPr="001973CE">
        <w:rPr>
          <w:noProof/>
          <w:lang w:val="pl-PL"/>
        </w:rPr>
        <w:t xml:space="preserve">precertyfikacji </w:t>
      </w:r>
      <w:r w:rsidR="002C493F">
        <w:rPr>
          <w:noProof/>
          <w:lang w:val="pl-PL"/>
        </w:rPr>
        <w:t xml:space="preserve">przeprowadziła Dorota Bartosz, </w:t>
      </w:r>
      <w:r w:rsidR="00ED558D" w:rsidRPr="00ED558D">
        <w:rPr>
          <w:noProof/>
          <w:lang w:val="pl-PL"/>
        </w:rPr>
        <w:t>Dyrektorka ds. Zrównoważonego Budownictwa</w:t>
      </w:r>
      <w:r w:rsidR="002C493F">
        <w:rPr>
          <w:noProof/>
          <w:lang w:val="pl-PL"/>
        </w:rPr>
        <w:t xml:space="preserve"> w Polskim Stowarzyszeniu Budownictwa Ekologicznego PLGBC.</w:t>
      </w:r>
    </w:p>
    <w:p w14:paraId="4742A527" w14:textId="62C69751" w:rsidR="003C54F2" w:rsidRDefault="003C54F2" w:rsidP="000708E1">
      <w:pPr>
        <w:spacing w:after="0" w:line="240" w:lineRule="auto"/>
        <w:jc w:val="both"/>
        <w:rPr>
          <w:noProof/>
          <w:lang w:val="pl-PL"/>
        </w:rPr>
      </w:pPr>
    </w:p>
    <w:p w14:paraId="104918A3" w14:textId="7BCA12BC" w:rsidR="007A7A8D" w:rsidRPr="007A7A8D" w:rsidRDefault="003C54F2" w:rsidP="003700E5">
      <w:pPr>
        <w:spacing w:after="0" w:line="240" w:lineRule="auto"/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</w:pPr>
      <w:r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- </w:t>
      </w:r>
      <w:r w:rsidR="007A7A8D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Ogromnie cieszy nas przyznanie precertyfikatu ZIELONY DOM dla projektu ODEA Park w Gdańsku. </w:t>
      </w:r>
      <w:r w:rsidR="00957449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>Zrównoważonych budynków mieszkalnych jest w Polsce niewiele, więc mamy nadzieję</w:t>
      </w:r>
      <w:r w:rsidR="00496247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>,</w:t>
      </w:r>
      <w:r w:rsidR="00957449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 że ten dobry przykład będzie wyzwaniem dla innych inwestorów.  </w:t>
      </w:r>
    </w:p>
    <w:p w14:paraId="77A7E992" w14:textId="15514944" w:rsidR="003C54F2" w:rsidRPr="002C49F0" w:rsidRDefault="007A7A8D" w:rsidP="003700E5">
      <w:pPr>
        <w:spacing w:after="0" w:line="240" w:lineRule="auto"/>
        <w:rPr>
          <w:rFonts w:cstheme="minorHAnsi"/>
          <w:i/>
          <w:iCs/>
          <w:bdr w:val="none" w:sz="0" w:space="0" w:color="auto" w:frame="1"/>
          <w:shd w:val="clear" w:color="auto" w:fill="FFFFFF"/>
          <w:lang w:val="pl-PL"/>
        </w:rPr>
      </w:pPr>
      <w:r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Warto zaznaczyć, iż </w:t>
      </w:r>
      <w:r w:rsidR="000357FF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przyznanie </w:t>
      </w:r>
      <w:r w:rsidR="003C54F2" w:rsidRPr="003C54F2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>certyfikat</w:t>
      </w:r>
      <w:r w:rsidR="000357FF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>u</w:t>
      </w:r>
      <w:r w:rsidR="003C54F2" w:rsidRPr="003C54F2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 ZIELONY DOM</w:t>
      </w:r>
      <w:r w:rsidR="000357FF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 wiąże się ze spełnieniem </w:t>
      </w:r>
      <w:r w:rsidR="003C54F2" w:rsidRPr="003C54F2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>szereg</w:t>
      </w:r>
      <w:r w:rsidR="000357FF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>u</w:t>
      </w:r>
      <w:r w:rsidR="003C54F2" w:rsidRPr="003C54F2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 kryteriów</w:t>
      </w:r>
      <w:r w:rsidR="00B711AC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>, które pozwalają ocenić inwestycję pod kątem zastosowania zrównoważonych rozwiązań.</w:t>
      </w:r>
      <w:r w:rsidR="00B711AC" w:rsidRPr="003C54F2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 Ocenie</w:t>
      </w:r>
      <w:r w:rsidR="003C54F2" w:rsidRPr="003C54F2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 poddaje się nie tylko sam budynek, ale również</w:t>
      </w:r>
      <w:r w:rsidR="00293F68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 proces jego wznoszenia oraz zagospodarowanie terenu inwestycji. Weryfikujemy zastosowane w budynku rozwiązania zapewniające wysok</w:t>
      </w:r>
      <w:r w:rsidR="007023ED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>ą</w:t>
      </w:r>
      <w:r w:rsidR="00293F68">
        <w:rPr>
          <w:rStyle w:val="Pogrubienie"/>
          <w:rFonts w:cstheme="minorHAnsi"/>
          <w:b w:val="0"/>
          <w:bCs w:val="0"/>
          <w:i/>
          <w:iCs/>
          <w:bdr w:val="none" w:sz="0" w:space="0" w:color="auto" w:frame="1"/>
          <w:shd w:val="clear" w:color="auto" w:fill="FFFFFF"/>
          <w:lang w:val="pl-PL"/>
        </w:rPr>
        <w:t xml:space="preserve"> efektywność energetyczną i przyczyniające się do niskich kosztów eksploatacyjnych. </w:t>
      </w:r>
      <w:r w:rsidR="00400F12">
        <w:rPr>
          <w:i/>
          <w:iCs/>
          <w:noProof/>
          <w:lang w:val="pl-PL"/>
        </w:rPr>
        <w:t>Oceniamy rozwi</w:t>
      </w:r>
      <w:r w:rsidR="007B26D9">
        <w:rPr>
          <w:i/>
          <w:iCs/>
          <w:noProof/>
          <w:lang w:val="pl-PL"/>
        </w:rPr>
        <w:t>ą</w:t>
      </w:r>
      <w:r w:rsidR="00400F12">
        <w:rPr>
          <w:i/>
          <w:iCs/>
          <w:noProof/>
          <w:lang w:val="pl-PL"/>
        </w:rPr>
        <w:t xml:space="preserve">zania </w:t>
      </w:r>
      <w:r w:rsidR="007023ED">
        <w:rPr>
          <w:i/>
          <w:iCs/>
          <w:noProof/>
          <w:lang w:val="pl-PL"/>
        </w:rPr>
        <w:t>odpowiedzialne za</w:t>
      </w:r>
      <w:r w:rsidR="00400F12">
        <w:rPr>
          <w:i/>
          <w:iCs/>
          <w:noProof/>
          <w:lang w:val="pl-PL"/>
        </w:rPr>
        <w:t xml:space="preserve"> komfort mieszkańców</w:t>
      </w:r>
      <w:r w:rsidR="00926463">
        <w:rPr>
          <w:i/>
          <w:iCs/>
          <w:noProof/>
          <w:lang w:val="pl-PL"/>
        </w:rPr>
        <w:t>,</w:t>
      </w:r>
      <w:r w:rsidR="00400F12">
        <w:rPr>
          <w:i/>
          <w:iCs/>
          <w:noProof/>
          <w:lang w:val="pl-PL"/>
        </w:rPr>
        <w:t xml:space="preserve"> zarówno cieplny jaki i akustyczy. Premiujemy </w:t>
      </w:r>
      <w:r w:rsidR="007023ED">
        <w:rPr>
          <w:i/>
          <w:iCs/>
          <w:noProof/>
          <w:lang w:val="pl-PL"/>
        </w:rPr>
        <w:t>zaprojektowanie</w:t>
      </w:r>
      <w:r w:rsidR="00400F12">
        <w:rPr>
          <w:i/>
          <w:iCs/>
          <w:noProof/>
          <w:lang w:val="pl-PL"/>
        </w:rPr>
        <w:t xml:space="preserve"> skutecznego i efektywnego systemu wentylacyjnego, który zapewni odpowiednią jakość powietrza wewnętrznego. </w:t>
      </w:r>
      <w:r w:rsidR="007023ED">
        <w:rPr>
          <w:i/>
          <w:iCs/>
          <w:noProof/>
          <w:lang w:val="pl-PL"/>
        </w:rPr>
        <w:t xml:space="preserve">Zestaw kryteriów w certyfikacie ZIELONY DOM </w:t>
      </w:r>
      <w:r w:rsidR="006762DC">
        <w:rPr>
          <w:i/>
          <w:iCs/>
          <w:noProof/>
          <w:lang w:val="pl-PL"/>
        </w:rPr>
        <w:t>obejmuj</w:t>
      </w:r>
      <w:r w:rsidR="007023ED">
        <w:rPr>
          <w:i/>
          <w:iCs/>
          <w:noProof/>
          <w:lang w:val="pl-PL"/>
        </w:rPr>
        <w:t>e</w:t>
      </w:r>
      <w:r w:rsidR="006762DC">
        <w:rPr>
          <w:i/>
          <w:iCs/>
          <w:noProof/>
          <w:lang w:val="pl-PL"/>
        </w:rPr>
        <w:t xml:space="preserve"> także zastosowanie mikroretencj</w:t>
      </w:r>
      <w:r w:rsidR="007023ED">
        <w:rPr>
          <w:i/>
          <w:iCs/>
          <w:noProof/>
          <w:lang w:val="pl-PL"/>
        </w:rPr>
        <w:t xml:space="preserve">i na terenie inwestycji, wykorzystanie wody deszczowej, zdrowe i ekologiczne materiały budowlane potwierdzone przez deklaracje EPD, zagospodarowanie odpadów w trakcie budowy, wykorzystanie odnawialanych źródeł energii oraz przyjazne, zielone, bioróżnorodne zagospodarowanie terenu inwestycji </w:t>
      </w:r>
      <w:r w:rsidR="00496247">
        <w:rPr>
          <w:i/>
          <w:iCs/>
          <w:noProof/>
          <w:lang w:val="pl-PL"/>
        </w:rPr>
        <w:t xml:space="preserve">i wiele innych </w:t>
      </w:r>
      <w:r w:rsidR="003C54F2" w:rsidRPr="001973CE">
        <w:rPr>
          <w:rFonts w:eastAsia="Times New Roman"/>
          <w:i/>
          <w:iCs/>
          <w:noProof/>
          <w:lang w:val="pl-PL"/>
        </w:rPr>
        <w:t>-</w:t>
      </w:r>
      <w:r w:rsidR="003C54F2">
        <w:rPr>
          <w:rFonts w:eastAsia="Times New Roman"/>
          <w:i/>
          <w:iCs/>
          <w:noProof/>
          <w:lang w:val="pl-PL"/>
        </w:rPr>
        <w:t xml:space="preserve"> </w:t>
      </w:r>
      <w:r w:rsidR="003C54F2" w:rsidRPr="001973CE">
        <w:rPr>
          <w:rFonts w:eastAsia="Times New Roman"/>
          <w:noProof/>
          <w:lang w:val="pl-PL"/>
        </w:rPr>
        <w:t xml:space="preserve">podkreśla </w:t>
      </w:r>
      <w:r w:rsidR="003C54F2" w:rsidRPr="001973CE">
        <w:rPr>
          <w:rFonts w:eastAsia="Times New Roman"/>
          <w:b/>
          <w:bCs/>
          <w:noProof/>
          <w:lang w:val="pl-PL"/>
        </w:rPr>
        <w:t>Dorota Bartosz</w:t>
      </w:r>
      <w:r w:rsidR="003C54F2" w:rsidRPr="001973CE">
        <w:rPr>
          <w:rFonts w:eastAsia="Times New Roman"/>
          <w:noProof/>
          <w:lang w:val="pl-PL"/>
        </w:rPr>
        <w:t>,  Dyrektor</w:t>
      </w:r>
      <w:r w:rsidR="007023ED">
        <w:rPr>
          <w:rFonts w:eastAsia="Times New Roman"/>
          <w:noProof/>
          <w:lang w:val="pl-PL"/>
        </w:rPr>
        <w:t>ka</w:t>
      </w:r>
      <w:r w:rsidR="003C54F2" w:rsidRPr="001973CE">
        <w:rPr>
          <w:rFonts w:eastAsia="Times New Roman"/>
          <w:noProof/>
          <w:lang w:val="pl-PL"/>
        </w:rPr>
        <w:t xml:space="preserve"> ds. </w:t>
      </w:r>
      <w:r w:rsidR="007023ED" w:rsidRPr="001973CE">
        <w:rPr>
          <w:rFonts w:eastAsia="Times New Roman"/>
          <w:noProof/>
          <w:lang w:val="pl-PL"/>
        </w:rPr>
        <w:t xml:space="preserve">Zrównoważonego </w:t>
      </w:r>
      <w:r w:rsidR="003C54F2" w:rsidRPr="001973CE">
        <w:rPr>
          <w:rFonts w:eastAsia="Times New Roman"/>
          <w:noProof/>
          <w:lang w:val="pl-PL"/>
        </w:rPr>
        <w:t>Budownictwa</w:t>
      </w:r>
      <w:r w:rsidR="00496247">
        <w:rPr>
          <w:rFonts w:eastAsia="Times New Roman"/>
          <w:noProof/>
          <w:lang w:val="pl-PL"/>
        </w:rPr>
        <w:t xml:space="preserve"> w</w:t>
      </w:r>
      <w:r w:rsidR="003C54F2" w:rsidRPr="001973CE">
        <w:rPr>
          <w:rFonts w:eastAsia="Times New Roman"/>
          <w:noProof/>
          <w:lang w:val="pl-PL"/>
        </w:rPr>
        <w:t xml:space="preserve"> PLGBC.</w:t>
      </w:r>
    </w:p>
    <w:p w14:paraId="11C23D88" w14:textId="77777777" w:rsidR="000708E1" w:rsidRPr="001973CE" w:rsidRDefault="000708E1" w:rsidP="003700E5">
      <w:pPr>
        <w:spacing w:after="0" w:line="240" w:lineRule="auto"/>
        <w:rPr>
          <w:noProof/>
          <w:lang w:val="pl-PL"/>
        </w:rPr>
      </w:pPr>
    </w:p>
    <w:p w14:paraId="63BF4EAA" w14:textId="3B7CD752" w:rsidR="000708E1" w:rsidRPr="001973CE" w:rsidRDefault="00FE74FB" w:rsidP="003700E5">
      <w:pPr>
        <w:spacing w:after="0" w:line="240" w:lineRule="auto"/>
        <w:rPr>
          <w:noProof/>
          <w:lang w:val="pl-PL"/>
        </w:rPr>
      </w:pPr>
      <w:r>
        <w:rPr>
          <w:noProof/>
          <w:lang w:val="pl-PL"/>
        </w:rPr>
        <w:t>W kolejnym etapie</w:t>
      </w:r>
      <w:r w:rsidR="009D79D0">
        <w:rPr>
          <w:noProof/>
          <w:lang w:val="pl-PL"/>
        </w:rPr>
        <w:t>, rozpoczęty</w:t>
      </w:r>
      <w:r w:rsidR="000708E1" w:rsidRPr="001973CE">
        <w:rPr>
          <w:noProof/>
          <w:lang w:val="pl-PL"/>
        </w:rPr>
        <w:t xml:space="preserve"> proces certyfikacji będzie monitorowany przez audytora w całym okresie realizacji</w:t>
      </w:r>
      <w:r w:rsidR="00AE1E02">
        <w:rPr>
          <w:noProof/>
          <w:lang w:val="pl-PL"/>
        </w:rPr>
        <w:t xml:space="preserve"> inwestyc</w:t>
      </w:r>
      <w:r w:rsidR="003F3407">
        <w:rPr>
          <w:noProof/>
          <w:lang w:val="pl-PL"/>
        </w:rPr>
        <w:t>ji. Weryfikowane będą</w:t>
      </w:r>
      <w:r w:rsidR="000708E1" w:rsidRPr="001973CE">
        <w:rPr>
          <w:noProof/>
          <w:lang w:val="pl-PL"/>
        </w:rPr>
        <w:t xml:space="preserve"> przyjęte założenia projektowe i rozwiązania deklarowane przez inwestora. </w:t>
      </w:r>
      <w:r w:rsidR="009D79D0">
        <w:rPr>
          <w:noProof/>
          <w:lang w:val="pl-PL"/>
        </w:rPr>
        <w:t xml:space="preserve">Następnie zakończony projekt inwestycyjny zostanie ponownie poddany ocenie </w:t>
      </w:r>
      <w:r w:rsidR="000708E1" w:rsidRPr="001973CE">
        <w:rPr>
          <w:noProof/>
          <w:lang w:val="pl-PL"/>
        </w:rPr>
        <w:t xml:space="preserve">przez PLGBC pod kątem wdrożonych rozwiązań. </w:t>
      </w:r>
    </w:p>
    <w:p w14:paraId="1574F165" w14:textId="425D6591" w:rsidR="000708E1" w:rsidRPr="001973CE" w:rsidRDefault="000708E1" w:rsidP="003700E5">
      <w:pPr>
        <w:spacing w:after="0" w:line="240" w:lineRule="auto"/>
        <w:rPr>
          <w:noProof/>
          <w:lang w:val="pl-PL"/>
        </w:rPr>
      </w:pPr>
    </w:p>
    <w:p w14:paraId="41A6C335" w14:textId="0C7EFC31" w:rsidR="000708E1" w:rsidRPr="002C493F" w:rsidRDefault="002C493F" w:rsidP="00F95DF2">
      <w:pPr>
        <w:spacing w:after="0" w:line="240" w:lineRule="auto"/>
        <w:rPr>
          <w:noProof/>
          <w:lang w:val="pl-PL"/>
        </w:rPr>
      </w:pPr>
      <w:r>
        <w:rPr>
          <w:i/>
          <w:iCs/>
          <w:noProof/>
          <w:lang w:val="pl-PL"/>
        </w:rPr>
        <w:t xml:space="preserve">- </w:t>
      </w:r>
      <w:r w:rsidR="000708E1" w:rsidRPr="002C493F">
        <w:rPr>
          <w:i/>
          <w:iCs/>
          <w:noProof/>
          <w:lang w:val="pl-PL"/>
        </w:rPr>
        <w:t xml:space="preserve">Certyfikacja nowych osiedli i budynków to dla dewelopera precyzyjny kompas, wskazujący kierunek podnoszenia standardów zrównoważonego budownictwa. Dzięki niej jednoznacznie określamy te cechy inwestycji, które już na etapie projektu, a potem w trakcie budowy i eksploatacji, znacząco przewyższają wymagania wynikające z przepisów i praktyk rynkowych. Tak właśnie podchodzimy do naszej realizowanej obecnie inwestycji Yareal w Gdańsku, czyli kameralnego kompleksu apartamentowego ODEA Park. Dla klientów dokonujących wyboru miejsca do zamieszkania i życia, kluczowa jest jakość, na którą składają się zarówno lokalizacja, jej otoczenie, efektywność energetyczna, a także zrównoważony charakter całego projektu. Proces certyfikacji w systemie </w:t>
      </w:r>
      <w:r>
        <w:rPr>
          <w:i/>
          <w:iCs/>
          <w:noProof/>
          <w:lang w:val="pl-PL"/>
        </w:rPr>
        <w:t>ZIELONY DOM</w:t>
      </w:r>
      <w:r w:rsidR="000708E1" w:rsidRPr="002C493F">
        <w:rPr>
          <w:i/>
          <w:iCs/>
          <w:noProof/>
          <w:lang w:val="pl-PL"/>
        </w:rPr>
        <w:t xml:space="preserve"> ułatwia podnoszenie standardów, choć jednocześnie jest dla dewelopera dobrowolnym </w:t>
      </w:r>
      <w:r w:rsidR="000708E1" w:rsidRPr="002C493F">
        <w:rPr>
          <w:i/>
          <w:iCs/>
          <w:noProof/>
          <w:lang w:val="pl-PL"/>
        </w:rPr>
        <w:lastRenderedPageBreak/>
        <w:t>samoograniczeniem, wymuszającym większe starania i nakłady na każdym etapie tworzenia i realizacji projektu. ODEA Park jest w tym kontekście podwójnie wyjątkowy, ponieważ certyfikujemy go w aż dwóch wymagających systemach zielonego budownictwa, przy czym w systemie ZIELONY DOM certyfikujemy naszą inwestycję po raz pierwszy w historii firmy. Drugim systemem jest międzynarodowy BREEAM</w:t>
      </w:r>
      <w:r>
        <w:rPr>
          <w:i/>
          <w:iCs/>
          <w:noProof/>
          <w:lang w:val="pl-PL"/>
        </w:rPr>
        <w:t xml:space="preserve"> -</w:t>
      </w:r>
      <w:r w:rsidR="000708E1" w:rsidRPr="002C493F">
        <w:rPr>
          <w:noProof/>
          <w:lang w:val="pl-PL"/>
        </w:rPr>
        <w:t xml:space="preserve"> </w:t>
      </w:r>
      <w:r w:rsidR="00762BBF">
        <w:rPr>
          <w:noProof/>
          <w:lang w:val="pl-PL"/>
        </w:rPr>
        <w:t>mówi</w:t>
      </w:r>
      <w:r w:rsidR="000708E1" w:rsidRPr="002C493F">
        <w:rPr>
          <w:noProof/>
          <w:lang w:val="pl-PL"/>
        </w:rPr>
        <w:t xml:space="preserve"> </w:t>
      </w:r>
      <w:r w:rsidR="000708E1" w:rsidRPr="002C493F">
        <w:rPr>
          <w:b/>
          <w:bCs/>
          <w:noProof/>
          <w:lang w:val="pl-PL"/>
        </w:rPr>
        <w:t>Katarzyna Rauber</w:t>
      </w:r>
      <w:r w:rsidR="000708E1" w:rsidRPr="002C493F">
        <w:rPr>
          <w:noProof/>
          <w:lang w:val="pl-PL"/>
        </w:rPr>
        <w:t>, Dyrektor Regionu</w:t>
      </w:r>
      <w:r w:rsidR="00F95DF2">
        <w:rPr>
          <w:noProof/>
          <w:lang w:val="pl-PL"/>
        </w:rPr>
        <w:t xml:space="preserve"> </w:t>
      </w:r>
      <w:r w:rsidR="000708E1" w:rsidRPr="002C493F">
        <w:rPr>
          <w:noProof/>
          <w:lang w:val="pl-PL"/>
        </w:rPr>
        <w:t xml:space="preserve">Yareal Trójmiasto. </w:t>
      </w:r>
    </w:p>
    <w:p w14:paraId="5D704DCB" w14:textId="77777777" w:rsidR="000708E1" w:rsidRPr="001973CE" w:rsidRDefault="000708E1" w:rsidP="000708E1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noProof/>
          <w:bdr w:val="none" w:sz="0" w:space="0" w:color="auto" w:frame="1"/>
          <w:shd w:val="clear" w:color="auto" w:fill="FFFFFF"/>
          <w:lang w:val="pl-PL"/>
        </w:rPr>
      </w:pPr>
    </w:p>
    <w:p w14:paraId="38655224" w14:textId="77777777" w:rsidR="000708E1" w:rsidRPr="001973CE" w:rsidRDefault="000708E1" w:rsidP="001F258A">
      <w:pPr>
        <w:spacing w:after="0" w:line="240" w:lineRule="auto"/>
        <w:rPr>
          <w:b/>
          <w:bCs/>
          <w:noProof/>
          <w:lang w:val="pl-PL"/>
        </w:rPr>
      </w:pPr>
      <w:r w:rsidRPr="001973CE">
        <w:rPr>
          <w:rStyle w:val="Pogrubienie"/>
          <w:rFonts w:cstheme="minorHAnsi"/>
          <w:b w:val="0"/>
          <w:bCs w:val="0"/>
          <w:noProof/>
          <w:bdr w:val="none" w:sz="0" w:space="0" w:color="auto" w:frame="1"/>
          <w:shd w:val="clear" w:color="auto" w:fill="FFFFFF"/>
          <w:lang w:val="pl-PL"/>
        </w:rPr>
        <w:t xml:space="preserve">Certyfikat ZIELONY DOM to pierwsza polska wielokryterialna certyfikacja dla budownictwa mieszkaniowego, opracowana przez Polskie Stowarzyszenie Budownictwa Ekologicznego PLGBC we współpracy z uznanymi ekspertami krajowymi i zagranicznymi. </w:t>
      </w:r>
    </w:p>
    <w:p w14:paraId="220D106A" w14:textId="77777777" w:rsidR="000708E1" w:rsidRPr="001973CE" w:rsidRDefault="000708E1" w:rsidP="000708E1">
      <w:pPr>
        <w:spacing w:after="0" w:line="240" w:lineRule="auto"/>
        <w:jc w:val="both"/>
        <w:rPr>
          <w:rFonts w:eastAsia="Times New Roman"/>
          <w:noProof/>
          <w:lang w:val="pl-PL"/>
        </w:rPr>
      </w:pPr>
    </w:p>
    <w:p w14:paraId="6A3B641C" w14:textId="77777777" w:rsidR="000708E1" w:rsidRPr="001973CE" w:rsidRDefault="000708E1" w:rsidP="000708E1">
      <w:pPr>
        <w:tabs>
          <w:tab w:val="left" w:pos="930"/>
        </w:tabs>
        <w:spacing w:after="0" w:line="240" w:lineRule="auto"/>
        <w:rPr>
          <w:b/>
          <w:bCs/>
          <w:noProof/>
          <w:lang w:val="pl-PL"/>
        </w:rPr>
      </w:pPr>
      <w:r w:rsidRPr="001973CE">
        <w:rPr>
          <w:noProof/>
          <w:lang w:val="pl-PL"/>
        </w:rPr>
        <w:t>Więcej informacji o certyfikacie ZIELONY DOM:</w:t>
      </w:r>
      <w:r w:rsidRPr="001973CE">
        <w:rPr>
          <w:noProof/>
          <w:lang w:val="pl-PL"/>
        </w:rPr>
        <w:br/>
      </w:r>
      <w:hyperlink r:id="rId8" w:history="1">
        <w:r w:rsidRPr="001973CE">
          <w:rPr>
            <w:rStyle w:val="Hipercze"/>
            <w:noProof/>
            <w:lang w:val="pl-PL"/>
          </w:rPr>
          <w:t>https://zielonydom.plgbc.org.pl/</w:t>
        </w:r>
      </w:hyperlink>
    </w:p>
    <w:p w14:paraId="4DAF639D" w14:textId="037C6975" w:rsidR="00E34541" w:rsidRPr="001973CE" w:rsidRDefault="000708E1" w:rsidP="000708E1">
      <w:pPr>
        <w:spacing w:after="0" w:line="240" w:lineRule="auto"/>
        <w:rPr>
          <w:b/>
          <w:bCs/>
          <w:noProof/>
          <w:color w:val="1F4E79" w:themeColor="accent1" w:themeShade="80"/>
          <w:lang w:val="pl-PL"/>
        </w:rPr>
      </w:pPr>
      <w:r w:rsidRPr="001973CE">
        <w:rPr>
          <w:noProof/>
          <w:lang w:val="pl-PL"/>
        </w:rPr>
        <w:br w:type="column"/>
      </w:r>
    </w:p>
    <w:p w14:paraId="5F216DA3" w14:textId="77777777" w:rsidR="00EA246E" w:rsidRPr="007048A5" w:rsidRDefault="00EA246E" w:rsidP="00EA246E">
      <w:pPr>
        <w:spacing w:after="0" w:line="240" w:lineRule="auto"/>
        <w:rPr>
          <w:rFonts w:cstheme="minorHAnsi"/>
          <w:b/>
          <w:bCs/>
          <w:lang w:val="pl-PL"/>
        </w:rPr>
      </w:pPr>
    </w:p>
    <w:p w14:paraId="152EA637" w14:textId="28495AD8" w:rsidR="00522B38" w:rsidRPr="007048A5" w:rsidRDefault="00522B38" w:rsidP="00E20E74">
      <w:pPr>
        <w:spacing w:after="0" w:line="240" w:lineRule="auto"/>
        <w:rPr>
          <w:rFonts w:cstheme="minorHAnsi"/>
          <w:lang w:val="pl-PL"/>
        </w:rPr>
      </w:pPr>
    </w:p>
    <w:p w14:paraId="6596582C" w14:textId="6E38AF3B" w:rsidR="00C275DC" w:rsidRPr="00A3428B" w:rsidRDefault="00C275DC" w:rsidP="007919B3">
      <w:pPr>
        <w:spacing w:after="0" w:line="240" w:lineRule="auto"/>
        <w:rPr>
          <w:rStyle w:val="Pogrubienie"/>
          <w:noProof/>
          <w:lang w:val="pl-PL"/>
        </w:rPr>
      </w:pPr>
      <w:r w:rsidRPr="00A3428B">
        <w:rPr>
          <w:b/>
          <w:bCs/>
          <w:noProof/>
          <w:lang w:val="pl-PL"/>
        </w:rPr>
        <w:t>Informacja o Polskim Stowarzyszeniu Budownictwa Ekologicznego PLGBC:</w:t>
      </w:r>
      <w:r w:rsidR="007919B3" w:rsidRPr="00A3428B">
        <w:rPr>
          <w:b/>
          <w:bCs/>
          <w:i/>
          <w:iCs/>
          <w:noProof/>
          <w:lang w:val="pl-PL"/>
        </w:rPr>
        <w:br/>
      </w:r>
      <w:r w:rsidR="007919B3" w:rsidRPr="00A3428B">
        <w:rPr>
          <w:b/>
          <w:bCs/>
          <w:i/>
          <w:iCs/>
          <w:noProof/>
          <w:lang w:val="pl-PL"/>
        </w:rPr>
        <w:br/>
      </w:r>
      <w:r w:rsidRPr="00A3428B">
        <w:rPr>
          <w:noProof/>
          <w:lang w:val="pl-PL"/>
        </w:rPr>
        <w:t xml:space="preserve">Polskie Stowarzyszenie Budownictwa Ekologicznego </w:t>
      </w:r>
      <w:hyperlink r:id="rId9" w:history="1">
        <w:r w:rsidRPr="00A3428B">
          <w:rPr>
            <w:rStyle w:val="Hipercze"/>
            <w:noProof/>
            <w:lang w:val="pl-PL"/>
          </w:rPr>
          <w:t>PLGBC</w:t>
        </w:r>
      </w:hyperlink>
      <w:r w:rsidRPr="00A3428B">
        <w:rPr>
          <w:noProof/>
          <w:lang w:val="pl-PL"/>
        </w:rPr>
        <w:t xml:space="preserve"> (Polish Green Building Council) jest organizacją pozarządową, która od 2008 roku </w:t>
      </w:r>
      <w:r w:rsidRPr="00A3428B">
        <w:rPr>
          <w:rFonts w:cstheme="minorHAnsi"/>
          <w:noProof/>
          <w:color w:val="3A3A3A"/>
          <w:shd w:val="clear" w:color="auto" w:fill="FFFFFF"/>
          <w:lang w:val="pl-PL"/>
        </w:rPr>
        <w:t>realizuje działania dla transformacji </w:t>
      </w:r>
      <w:r w:rsidRPr="00A3428B">
        <w:rPr>
          <w:rStyle w:val="Pogrubienie"/>
          <w:rFonts w:cstheme="minorHAnsi"/>
          <w:b w:val="0"/>
          <w:bCs w:val="0"/>
          <w:noProof/>
          <w:color w:val="3A3A3A"/>
          <w:bdr w:val="none" w:sz="0" w:space="0" w:color="auto" w:frame="1"/>
          <w:shd w:val="clear" w:color="auto" w:fill="FFFFFF"/>
          <w:lang w:val="pl-PL"/>
        </w:rPr>
        <w:t>budynków, miast i ich otoczenia </w:t>
      </w:r>
      <w:r w:rsidRPr="00A3428B">
        <w:rPr>
          <w:rFonts w:cstheme="minorHAnsi"/>
          <w:noProof/>
          <w:color w:val="3A3A3A"/>
          <w:shd w:val="clear" w:color="auto" w:fill="FFFFFF"/>
          <w:lang w:val="pl-PL"/>
        </w:rPr>
        <w:t>w takim kierunku, aby sposób ich </w:t>
      </w:r>
      <w:r w:rsidRPr="00A3428B">
        <w:rPr>
          <w:rStyle w:val="Pogrubienie"/>
          <w:rFonts w:cstheme="minorHAnsi"/>
          <w:b w:val="0"/>
          <w:bCs w:val="0"/>
          <w:noProof/>
          <w:color w:val="3A3A3A"/>
          <w:bdr w:val="none" w:sz="0" w:space="0" w:color="auto" w:frame="1"/>
          <w:shd w:val="clear" w:color="auto" w:fill="FFFFFF"/>
          <w:lang w:val="pl-PL"/>
        </w:rPr>
        <w:t>planowania, projektowania, wznoszenia, użytkowania, modernizowania, rozbierania i przetwarzania</w:t>
      </w:r>
      <w:r w:rsidRPr="00A3428B">
        <w:rPr>
          <w:rFonts w:cstheme="minorHAnsi"/>
          <w:noProof/>
          <w:color w:val="3A3A3A"/>
          <w:shd w:val="clear" w:color="auto" w:fill="FFFFFF"/>
          <w:lang w:val="pl-PL"/>
        </w:rPr>
        <w:t> był jak najbardziej </w:t>
      </w:r>
      <w:r w:rsidRPr="00A3428B">
        <w:rPr>
          <w:rStyle w:val="Pogrubienie"/>
          <w:rFonts w:cstheme="minorHAnsi"/>
          <w:b w:val="0"/>
          <w:bCs w:val="0"/>
          <w:noProof/>
          <w:color w:val="3A3A3A"/>
          <w:bdr w:val="none" w:sz="0" w:space="0" w:color="auto" w:frame="1"/>
          <w:shd w:val="clear" w:color="auto" w:fill="FFFFFF"/>
          <w:lang w:val="pl-PL"/>
        </w:rPr>
        <w:t>zrównoważony</w:t>
      </w:r>
      <w:r w:rsidRPr="00A3428B">
        <w:rPr>
          <w:rFonts w:cstheme="minorHAnsi"/>
          <w:noProof/>
          <w:color w:val="3A3A3A"/>
          <w:shd w:val="clear" w:color="auto" w:fill="FFFFFF"/>
          <w:lang w:val="pl-PL"/>
        </w:rPr>
        <w:t>.</w:t>
      </w:r>
      <w:r w:rsidR="007919B3" w:rsidRPr="00A3428B">
        <w:rPr>
          <w:b/>
          <w:bCs/>
          <w:i/>
          <w:iCs/>
          <w:noProof/>
          <w:lang w:val="pl-PL"/>
        </w:rPr>
        <w:br/>
      </w:r>
      <w:r w:rsidR="007919B3" w:rsidRPr="00A3428B">
        <w:rPr>
          <w:b/>
          <w:bCs/>
          <w:i/>
          <w:iCs/>
          <w:noProof/>
          <w:lang w:val="pl-PL"/>
        </w:rPr>
        <w:br/>
      </w:r>
      <w:r w:rsidRPr="00A3428B">
        <w:rPr>
          <w:rStyle w:val="Pogrubienie"/>
          <w:rFonts w:cstheme="minorHAnsi"/>
          <w:b w:val="0"/>
          <w:bCs w:val="0"/>
          <w:noProof/>
          <w:color w:val="3A3A3A"/>
          <w:bdr w:val="none" w:sz="0" w:space="0" w:color="auto" w:frame="1"/>
          <w:shd w:val="clear" w:color="auto" w:fill="FFFFFF"/>
          <w:lang w:val="pl-PL"/>
        </w:rPr>
        <w:t xml:space="preserve">Organizacja wspiera tworzenie zrównoważonych budynków dla wszystkich </w:t>
      </w:r>
      <w:r w:rsidRPr="00A3428B">
        <w:rPr>
          <w:rStyle w:val="Pogrubienie"/>
          <w:b w:val="0"/>
          <w:bCs w:val="0"/>
          <w:noProof/>
          <w:bdr w:val="none" w:sz="0" w:space="0" w:color="auto" w:frame="1"/>
          <w:shd w:val="clear" w:color="auto" w:fill="FFFFFF"/>
          <w:lang w:val="pl-PL"/>
        </w:rPr>
        <w:t>poprzez:</w:t>
      </w:r>
    </w:p>
    <w:p w14:paraId="53C17E47" w14:textId="77777777" w:rsidR="00C275DC" w:rsidRPr="00A3428B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noProof/>
          <w:color w:val="3A3A3A"/>
          <w:lang w:val="pl-PL" w:eastAsia="pl-PL"/>
        </w:rPr>
      </w:pPr>
      <w:r w:rsidRPr="00A3428B">
        <w:rPr>
          <w:rFonts w:eastAsia="Times New Roman" w:cstheme="minorHAnsi"/>
          <w:noProof/>
          <w:color w:val="3A3A3A"/>
          <w:lang w:val="pl-PL" w:eastAsia="pl-PL"/>
        </w:rPr>
        <w:t>powstrzymanie zmian klimatu oraz adaptację do nowych warunków,</w:t>
      </w:r>
    </w:p>
    <w:p w14:paraId="41165205" w14:textId="77777777" w:rsidR="00C275DC" w:rsidRPr="00A3428B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noProof/>
          <w:color w:val="3A3A3A"/>
          <w:lang w:val="pl-PL" w:eastAsia="pl-PL"/>
        </w:rPr>
      </w:pPr>
      <w:r w:rsidRPr="00A3428B">
        <w:rPr>
          <w:rFonts w:eastAsia="Times New Roman" w:cstheme="minorHAnsi"/>
          <w:noProof/>
          <w:color w:val="3A3A3A"/>
          <w:lang w:val="pl-PL" w:eastAsia="pl-PL"/>
        </w:rPr>
        <w:t>stosowanie zasad gospodarki o obiegu zamkniętym,</w:t>
      </w:r>
    </w:p>
    <w:p w14:paraId="105556B2" w14:textId="77777777" w:rsidR="00C275DC" w:rsidRPr="00A3428B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noProof/>
          <w:color w:val="3A3A3A"/>
          <w:lang w:val="pl-PL" w:eastAsia="pl-PL"/>
        </w:rPr>
      </w:pPr>
      <w:r w:rsidRPr="00A3428B">
        <w:rPr>
          <w:rFonts w:eastAsia="Times New Roman" w:cstheme="minorHAnsi"/>
          <w:noProof/>
          <w:color w:val="3A3A3A"/>
          <w:lang w:val="pl-PL" w:eastAsia="pl-PL"/>
        </w:rPr>
        <w:t>podnoszenie poziomu dobrostanu, jakości życia i zdrowia społeczeństwa,</w:t>
      </w:r>
    </w:p>
    <w:p w14:paraId="34EBAC14" w14:textId="77777777" w:rsidR="00C275DC" w:rsidRPr="00A3428B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noProof/>
          <w:color w:val="3A3A3A"/>
          <w:lang w:val="pl-PL" w:eastAsia="pl-PL"/>
        </w:rPr>
      </w:pPr>
      <w:r w:rsidRPr="00A3428B">
        <w:rPr>
          <w:rFonts w:eastAsia="Times New Roman" w:cstheme="minorHAnsi"/>
          <w:noProof/>
          <w:color w:val="3A3A3A"/>
          <w:lang w:val="pl-PL" w:eastAsia="pl-PL"/>
        </w:rPr>
        <w:t>zwiększanie bioróżnorodności.</w:t>
      </w:r>
    </w:p>
    <w:p w14:paraId="503544B2" w14:textId="77777777" w:rsidR="00C275DC" w:rsidRPr="00A3428B" w:rsidRDefault="00C275DC" w:rsidP="00C275DC">
      <w:pPr>
        <w:spacing w:after="0" w:line="240" w:lineRule="auto"/>
        <w:rPr>
          <w:rFonts w:cstheme="minorHAnsi"/>
          <w:noProof/>
          <w:lang w:val="pl-PL"/>
        </w:rPr>
      </w:pPr>
    </w:p>
    <w:p w14:paraId="26993ACE" w14:textId="77777777" w:rsidR="00C275DC" w:rsidRPr="00A3428B" w:rsidRDefault="00C275DC" w:rsidP="00C275DC">
      <w:pPr>
        <w:spacing w:after="0" w:line="240" w:lineRule="auto"/>
        <w:rPr>
          <w:noProof/>
          <w:lang w:val="pl-PL"/>
        </w:rPr>
      </w:pPr>
      <w:r w:rsidRPr="00A3428B">
        <w:rPr>
          <w:noProof/>
          <w:lang w:val="pl-PL"/>
        </w:rPr>
        <w:t>PLGBC stanowi część globalnej społeczności ponad 70 organizacji green building councils skupionych w ramach </w:t>
      </w:r>
      <w:hyperlink r:id="rId10" w:history="1">
        <w:r w:rsidRPr="00A3428B">
          <w:rPr>
            <w:noProof/>
            <w:lang w:val="pl-PL"/>
          </w:rPr>
          <w:t>World Green Building Council</w:t>
        </w:r>
      </w:hyperlink>
      <w:r w:rsidRPr="00A3428B">
        <w:rPr>
          <w:noProof/>
          <w:lang w:val="pl-PL"/>
        </w:rPr>
        <w:t>.</w:t>
      </w:r>
    </w:p>
    <w:p w14:paraId="5F71B804" w14:textId="77777777" w:rsidR="00C275DC" w:rsidRPr="00A3428B" w:rsidRDefault="00C275DC" w:rsidP="00C275DC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lang w:val="pl-PL"/>
        </w:rPr>
      </w:pPr>
    </w:p>
    <w:p w14:paraId="28AD60B9" w14:textId="77777777" w:rsidR="00C275DC" w:rsidRPr="00A3428B" w:rsidRDefault="00CE6F1D" w:rsidP="00C275DC">
      <w:pPr>
        <w:spacing w:after="0" w:line="240" w:lineRule="auto"/>
        <w:jc w:val="both"/>
        <w:rPr>
          <w:rFonts w:cstheme="minorHAnsi"/>
          <w:noProof/>
          <w:lang w:val="pl-PL"/>
        </w:rPr>
      </w:pPr>
      <w:hyperlink r:id="rId11" w:history="1">
        <w:r w:rsidR="00C275DC" w:rsidRPr="00A3428B">
          <w:rPr>
            <w:rStyle w:val="Hipercze"/>
            <w:rFonts w:cstheme="minorHAnsi"/>
            <w:noProof/>
            <w:lang w:val="pl-PL"/>
          </w:rPr>
          <w:t>https://plgbc.org.pl</w:t>
        </w:r>
      </w:hyperlink>
    </w:p>
    <w:p w14:paraId="1E6468EF" w14:textId="77777777" w:rsidR="00C275DC" w:rsidRPr="00A3428B" w:rsidRDefault="00C275DC" w:rsidP="00C275DC">
      <w:pPr>
        <w:pStyle w:val="Zwykytekst"/>
        <w:jc w:val="both"/>
        <w:rPr>
          <w:rFonts w:asciiTheme="minorHAnsi" w:hAnsiTheme="minorHAnsi" w:cstheme="minorHAnsi"/>
          <w:noProof/>
          <w:szCs w:val="22"/>
        </w:rPr>
      </w:pPr>
    </w:p>
    <w:p w14:paraId="348814E8" w14:textId="6AA6A349" w:rsidR="001864A5" w:rsidRPr="00A3428B" w:rsidRDefault="001864A5" w:rsidP="003E23CE">
      <w:pPr>
        <w:rPr>
          <w:rFonts w:cstheme="minorHAnsi"/>
          <w:noProof/>
          <w:lang w:val="pl-PL"/>
        </w:rPr>
      </w:pPr>
    </w:p>
    <w:sectPr w:rsidR="001864A5" w:rsidRPr="00A3428B" w:rsidSect="000708E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2AA5" w14:textId="77777777" w:rsidR="00F871C9" w:rsidRDefault="00F871C9" w:rsidP="004D5EFE">
      <w:pPr>
        <w:spacing w:after="0" w:line="240" w:lineRule="auto"/>
      </w:pPr>
      <w:r>
        <w:separator/>
      </w:r>
    </w:p>
  </w:endnote>
  <w:endnote w:type="continuationSeparator" w:id="0">
    <w:p w14:paraId="6E9C52A4" w14:textId="77777777" w:rsidR="00F871C9" w:rsidRDefault="00F871C9" w:rsidP="004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502F" w14:textId="77777777" w:rsidR="00FF64D2" w:rsidRPr="00C46EA3" w:rsidRDefault="00FF64D2" w:rsidP="00FF64D2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08D0094C" w14:textId="77777777" w:rsidR="00FF64D2" w:rsidRPr="00C46EA3" w:rsidRDefault="00FF64D2" w:rsidP="00FF64D2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  <w:t xml:space="preserve">44-100 Gliwice, ul. Konarskiego 18C/2-11A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30016394" w14:textId="52EA885A" w:rsidR="00FF64D2" w:rsidRPr="00C46EA3" w:rsidRDefault="00FF64D2" w:rsidP="00FF64D2">
    <w:pPr>
      <w:pStyle w:val="Stopka"/>
      <w:jc w:val="center"/>
      <w:rPr>
        <w:rFonts w:ascii="Century Gothic" w:eastAsia="Calibri" w:hAnsi="Century Gothic" w:cs="Segoe UI"/>
        <w:i/>
        <w:iCs/>
        <w:color w:val="000000" w:themeColor="text1"/>
        <w:sz w:val="16"/>
        <w:szCs w:val="16"/>
        <w:u w:val="single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535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680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066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hyperlink r:id="rId1" w:history="1">
      <w:r w:rsidRPr="00C46EA3">
        <w:rPr>
          <w:rFonts w:ascii="Century Gothic" w:eastAsia="Calibri" w:hAnsi="Century Gothic" w:cs="Segoe UI"/>
          <w:i/>
          <w:iCs/>
          <w:color w:val="000000" w:themeColor="text1"/>
          <w:sz w:val="16"/>
          <w:szCs w:val="16"/>
          <w:u w:val="single"/>
          <w:lang w:val="en-US"/>
        </w:rPr>
        <w:t>www.plgbc.org.pl</w:t>
      </w:r>
    </w:hyperlink>
  </w:p>
  <w:p w14:paraId="4055FCBB" w14:textId="18971186" w:rsidR="00FF64D2" w:rsidRPr="00C46EA3" w:rsidRDefault="00FF64D2" w:rsidP="00FF64D2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Regon: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</w:t>
    </w:r>
    <w:r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 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65F2" w14:textId="77777777" w:rsidR="00F871C9" w:rsidRDefault="00F871C9" w:rsidP="004D5EFE">
      <w:pPr>
        <w:spacing w:after="0" w:line="240" w:lineRule="auto"/>
      </w:pPr>
      <w:r>
        <w:separator/>
      </w:r>
    </w:p>
  </w:footnote>
  <w:footnote w:type="continuationSeparator" w:id="0">
    <w:p w14:paraId="085FD84D" w14:textId="77777777" w:rsidR="00F871C9" w:rsidRDefault="00F871C9" w:rsidP="004D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AF1A" w14:textId="6883A093" w:rsidR="004D5EFE" w:rsidRDefault="004D5EFE">
    <w:pPr>
      <w:pStyle w:val="Nagwek"/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CB40750" wp14:editId="47E9196F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2" name="Obraz 2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6D6D5" w14:textId="77777777" w:rsidR="004D5EFE" w:rsidRDefault="004D5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F91EAA"/>
    <w:multiLevelType w:val="multilevel"/>
    <w:tmpl w:val="3B32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A7F53"/>
    <w:multiLevelType w:val="hybridMultilevel"/>
    <w:tmpl w:val="CB90DA60"/>
    <w:lvl w:ilvl="0" w:tplc="B3B6C3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187626"/>
    <w:multiLevelType w:val="hybridMultilevel"/>
    <w:tmpl w:val="CFF0C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35AE0"/>
    <w:multiLevelType w:val="hybridMultilevel"/>
    <w:tmpl w:val="09E611E2"/>
    <w:lvl w:ilvl="0" w:tplc="695C8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51DCB"/>
    <w:multiLevelType w:val="hybridMultilevel"/>
    <w:tmpl w:val="607AB2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F4ED3"/>
    <w:multiLevelType w:val="hybridMultilevel"/>
    <w:tmpl w:val="E2E06E0C"/>
    <w:lvl w:ilvl="0" w:tplc="27AEB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C3ABC"/>
    <w:multiLevelType w:val="multilevel"/>
    <w:tmpl w:val="DB1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B1F8B"/>
    <w:multiLevelType w:val="hybridMultilevel"/>
    <w:tmpl w:val="37E0E5E8"/>
    <w:lvl w:ilvl="0" w:tplc="D77C5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B2AFF"/>
    <w:multiLevelType w:val="hybridMultilevel"/>
    <w:tmpl w:val="E968EB3E"/>
    <w:lvl w:ilvl="0" w:tplc="0846E5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C62133"/>
    <w:multiLevelType w:val="hybridMultilevel"/>
    <w:tmpl w:val="A3906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E7F97"/>
    <w:multiLevelType w:val="hybridMultilevel"/>
    <w:tmpl w:val="7CDC9C92"/>
    <w:lvl w:ilvl="0" w:tplc="318C30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042BEF"/>
    <w:multiLevelType w:val="multilevel"/>
    <w:tmpl w:val="3400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632066">
    <w:abstractNumId w:val="11"/>
  </w:num>
  <w:num w:numId="2" w16cid:durableId="102656698">
    <w:abstractNumId w:val="0"/>
  </w:num>
  <w:num w:numId="3" w16cid:durableId="1582059321">
    <w:abstractNumId w:val="6"/>
  </w:num>
  <w:num w:numId="4" w16cid:durableId="851063834">
    <w:abstractNumId w:val="4"/>
  </w:num>
  <w:num w:numId="5" w16cid:durableId="504898590">
    <w:abstractNumId w:val="7"/>
  </w:num>
  <w:num w:numId="6" w16cid:durableId="491213200">
    <w:abstractNumId w:val="1"/>
  </w:num>
  <w:num w:numId="7" w16cid:durableId="1867281227">
    <w:abstractNumId w:val="7"/>
  </w:num>
  <w:num w:numId="8" w16cid:durableId="1845391913">
    <w:abstractNumId w:val="12"/>
  </w:num>
  <w:num w:numId="9" w16cid:durableId="1416586338">
    <w:abstractNumId w:val="1"/>
  </w:num>
  <w:num w:numId="10" w16cid:durableId="2120567058">
    <w:abstractNumId w:val="9"/>
  </w:num>
  <w:num w:numId="11" w16cid:durableId="1334256616">
    <w:abstractNumId w:val="7"/>
  </w:num>
  <w:num w:numId="12" w16cid:durableId="172838663">
    <w:abstractNumId w:val="12"/>
  </w:num>
  <w:num w:numId="13" w16cid:durableId="1661619042">
    <w:abstractNumId w:val="1"/>
  </w:num>
  <w:num w:numId="14" w16cid:durableId="698430170">
    <w:abstractNumId w:val="5"/>
  </w:num>
  <w:num w:numId="15" w16cid:durableId="248781270">
    <w:abstractNumId w:val="2"/>
  </w:num>
  <w:num w:numId="16" w16cid:durableId="942885867">
    <w:abstractNumId w:val="3"/>
  </w:num>
  <w:num w:numId="17" w16cid:durableId="2101288580">
    <w:abstractNumId w:val="10"/>
  </w:num>
  <w:num w:numId="18" w16cid:durableId="1439711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87"/>
    <w:rsid w:val="00001135"/>
    <w:rsid w:val="0000695B"/>
    <w:rsid w:val="00016EB8"/>
    <w:rsid w:val="0002700D"/>
    <w:rsid w:val="000277C5"/>
    <w:rsid w:val="00030ED0"/>
    <w:rsid w:val="00034E8C"/>
    <w:rsid w:val="000357FF"/>
    <w:rsid w:val="000563C6"/>
    <w:rsid w:val="00057D93"/>
    <w:rsid w:val="000708E1"/>
    <w:rsid w:val="00072C7C"/>
    <w:rsid w:val="000A4A35"/>
    <w:rsid w:val="000C5BA7"/>
    <w:rsid w:val="000D0338"/>
    <w:rsid w:val="000D1923"/>
    <w:rsid w:val="000F2C17"/>
    <w:rsid w:val="000F4C2B"/>
    <w:rsid w:val="000F581E"/>
    <w:rsid w:val="001046A8"/>
    <w:rsid w:val="00111EDA"/>
    <w:rsid w:val="00125F9D"/>
    <w:rsid w:val="00137356"/>
    <w:rsid w:val="001500AE"/>
    <w:rsid w:val="001668CA"/>
    <w:rsid w:val="00176D0A"/>
    <w:rsid w:val="001819A5"/>
    <w:rsid w:val="001864A5"/>
    <w:rsid w:val="001973CE"/>
    <w:rsid w:val="001A35BC"/>
    <w:rsid w:val="001D437C"/>
    <w:rsid w:val="001F258A"/>
    <w:rsid w:val="002150A6"/>
    <w:rsid w:val="00221D7A"/>
    <w:rsid w:val="00234E28"/>
    <w:rsid w:val="002518B9"/>
    <w:rsid w:val="00254FC6"/>
    <w:rsid w:val="00270688"/>
    <w:rsid w:val="0028309F"/>
    <w:rsid w:val="00293F68"/>
    <w:rsid w:val="002A421B"/>
    <w:rsid w:val="002B6017"/>
    <w:rsid w:val="002C23F7"/>
    <w:rsid w:val="002C493F"/>
    <w:rsid w:val="002C49F0"/>
    <w:rsid w:val="002D224A"/>
    <w:rsid w:val="002E0D90"/>
    <w:rsid w:val="002E2B86"/>
    <w:rsid w:val="002F0334"/>
    <w:rsid w:val="00302043"/>
    <w:rsid w:val="00302E08"/>
    <w:rsid w:val="0030457E"/>
    <w:rsid w:val="00346C21"/>
    <w:rsid w:val="00350455"/>
    <w:rsid w:val="0035206E"/>
    <w:rsid w:val="00352B0B"/>
    <w:rsid w:val="003561CF"/>
    <w:rsid w:val="003700E5"/>
    <w:rsid w:val="00371631"/>
    <w:rsid w:val="00384E2A"/>
    <w:rsid w:val="00395A00"/>
    <w:rsid w:val="003C1FD9"/>
    <w:rsid w:val="003C38C7"/>
    <w:rsid w:val="003C54F2"/>
    <w:rsid w:val="003D045F"/>
    <w:rsid w:val="003E23CE"/>
    <w:rsid w:val="003E4D73"/>
    <w:rsid w:val="003E5859"/>
    <w:rsid w:val="003F2AA4"/>
    <w:rsid w:val="003F3407"/>
    <w:rsid w:val="003F6D0C"/>
    <w:rsid w:val="003F7EC9"/>
    <w:rsid w:val="004009A5"/>
    <w:rsid w:val="00400F12"/>
    <w:rsid w:val="004036F2"/>
    <w:rsid w:val="00417CFE"/>
    <w:rsid w:val="00466DFC"/>
    <w:rsid w:val="00473E4B"/>
    <w:rsid w:val="004752C3"/>
    <w:rsid w:val="004779B2"/>
    <w:rsid w:val="004879FC"/>
    <w:rsid w:val="004905E7"/>
    <w:rsid w:val="00495F58"/>
    <w:rsid w:val="00496247"/>
    <w:rsid w:val="004C5CE8"/>
    <w:rsid w:val="004D1D05"/>
    <w:rsid w:val="004D3073"/>
    <w:rsid w:val="004D5EFE"/>
    <w:rsid w:val="004D684B"/>
    <w:rsid w:val="004F30FF"/>
    <w:rsid w:val="004F334E"/>
    <w:rsid w:val="004F5724"/>
    <w:rsid w:val="00521563"/>
    <w:rsid w:val="005222A6"/>
    <w:rsid w:val="00522B38"/>
    <w:rsid w:val="00543228"/>
    <w:rsid w:val="0055432F"/>
    <w:rsid w:val="00562AED"/>
    <w:rsid w:val="005662E7"/>
    <w:rsid w:val="00574CCA"/>
    <w:rsid w:val="00577F79"/>
    <w:rsid w:val="00580B75"/>
    <w:rsid w:val="00585E51"/>
    <w:rsid w:val="00593587"/>
    <w:rsid w:val="005959E0"/>
    <w:rsid w:val="005A6C0A"/>
    <w:rsid w:val="005C1A3A"/>
    <w:rsid w:val="005C1E43"/>
    <w:rsid w:val="005C5A33"/>
    <w:rsid w:val="005C730F"/>
    <w:rsid w:val="005D1C3B"/>
    <w:rsid w:val="005D676A"/>
    <w:rsid w:val="005E4F2B"/>
    <w:rsid w:val="005F094F"/>
    <w:rsid w:val="00602326"/>
    <w:rsid w:val="0062308E"/>
    <w:rsid w:val="00652823"/>
    <w:rsid w:val="0065608E"/>
    <w:rsid w:val="00660F52"/>
    <w:rsid w:val="00663791"/>
    <w:rsid w:val="006762DC"/>
    <w:rsid w:val="00677EAC"/>
    <w:rsid w:val="006806D9"/>
    <w:rsid w:val="00693597"/>
    <w:rsid w:val="00694C4B"/>
    <w:rsid w:val="006B3626"/>
    <w:rsid w:val="006B7A7F"/>
    <w:rsid w:val="006C4AEB"/>
    <w:rsid w:val="006D13C3"/>
    <w:rsid w:val="006D62A2"/>
    <w:rsid w:val="006E41C8"/>
    <w:rsid w:val="006F0429"/>
    <w:rsid w:val="007023ED"/>
    <w:rsid w:val="007048A5"/>
    <w:rsid w:val="00754925"/>
    <w:rsid w:val="0076133F"/>
    <w:rsid w:val="00762BBF"/>
    <w:rsid w:val="007670D4"/>
    <w:rsid w:val="007763E8"/>
    <w:rsid w:val="00780771"/>
    <w:rsid w:val="00781AE1"/>
    <w:rsid w:val="00782FA7"/>
    <w:rsid w:val="0078438B"/>
    <w:rsid w:val="007919B3"/>
    <w:rsid w:val="007923B0"/>
    <w:rsid w:val="007A7A8D"/>
    <w:rsid w:val="007B26D9"/>
    <w:rsid w:val="007C15CC"/>
    <w:rsid w:val="007C45CC"/>
    <w:rsid w:val="007C7057"/>
    <w:rsid w:val="007D61CB"/>
    <w:rsid w:val="00802C11"/>
    <w:rsid w:val="00806052"/>
    <w:rsid w:val="00807BF3"/>
    <w:rsid w:val="00813CF5"/>
    <w:rsid w:val="008143F1"/>
    <w:rsid w:val="0081547B"/>
    <w:rsid w:val="00815838"/>
    <w:rsid w:val="00820E7A"/>
    <w:rsid w:val="008269A6"/>
    <w:rsid w:val="00834795"/>
    <w:rsid w:val="00866CF6"/>
    <w:rsid w:val="00867E02"/>
    <w:rsid w:val="008835F2"/>
    <w:rsid w:val="008A3C0B"/>
    <w:rsid w:val="008B0DD1"/>
    <w:rsid w:val="008B4A94"/>
    <w:rsid w:val="008B6B35"/>
    <w:rsid w:val="008D1FA5"/>
    <w:rsid w:val="008E5ED9"/>
    <w:rsid w:val="008F7797"/>
    <w:rsid w:val="00900EEA"/>
    <w:rsid w:val="00906028"/>
    <w:rsid w:val="00916480"/>
    <w:rsid w:val="00926463"/>
    <w:rsid w:val="00957449"/>
    <w:rsid w:val="00960337"/>
    <w:rsid w:val="00964222"/>
    <w:rsid w:val="009734A2"/>
    <w:rsid w:val="009831C1"/>
    <w:rsid w:val="00990706"/>
    <w:rsid w:val="00992716"/>
    <w:rsid w:val="00995012"/>
    <w:rsid w:val="009A719E"/>
    <w:rsid w:val="009A74A2"/>
    <w:rsid w:val="009B7B42"/>
    <w:rsid w:val="009D0D3D"/>
    <w:rsid w:val="009D79D0"/>
    <w:rsid w:val="009F28AE"/>
    <w:rsid w:val="00A11F5A"/>
    <w:rsid w:val="00A3428B"/>
    <w:rsid w:val="00A423A2"/>
    <w:rsid w:val="00A54E10"/>
    <w:rsid w:val="00A55DFF"/>
    <w:rsid w:val="00A576A1"/>
    <w:rsid w:val="00A61D86"/>
    <w:rsid w:val="00A622B6"/>
    <w:rsid w:val="00A63AAA"/>
    <w:rsid w:val="00A63C9C"/>
    <w:rsid w:val="00A651C7"/>
    <w:rsid w:val="00A738E3"/>
    <w:rsid w:val="00A8407C"/>
    <w:rsid w:val="00A91816"/>
    <w:rsid w:val="00A919ED"/>
    <w:rsid w:val="00A91D77"/>
    <w:rsid w:val="00A95B22"/>
    <w:rsid w:val="00A97082"/>
    <w:rsid w:val="00A97F5D"/>
    <w:rsid w:val="00AA5D02"/>
    <w:rsid w:val="00AB37BF"/>
    <w:rsid w:val="00AC5613"/>
    <w:rsid w:val="00AD7BBC"/>
    <w:rsid w:val="00AE1E02"/>
    <w:rsid w:val="00B22098"/>
    <w:rsid w:val="00B46203"/>
    <w:rsid w:val="00B640BD"/>
    <w:rsid w:val="00B711AC"/>
    <w:rsid w:val="00B77813"/>
    <w:rsid w:val="00B95DB0"/>
    <w:rsid w:val="00BA2244"/>
    <w:rsid w:val="00BA6D58"/>
    <w:rsid w:val="00BB01C0"/>
    <w:rsid w:val="00BD7922"/>
    <w:rsid w:val="00BF53F1"/>
    <w:rsid w:val="00C10F06"/>
    <w:rsid w:val="00C16E5A"/>
    <w:rsid w:val="00C275DC"/>
    <w:rsid w:val="00C313EE"/>
    <w:rsid w:val="00C40902"/>
    <w:rsid w:val="00C44190"/>
    <w:rsid w:val="00C524C1"/>
    <w:rsid w:val="00C5529B"/>
    <w:rsid w:val="00C77ED4"/>
    <w:rsid w:val="00C91060"/>
    <w:rsid w:val="00C94088"/>
    <w:rsid w:val="00C97FC3"/>
    <w:rsid w:val="00CA58E8"/>
    <w:rsid w:val="00CB6437"/>
    <w:rsid w:val="00CB6493"/>
    <w:rsid w:val="00CD1879"/>
    <w:rsid w:val="00CE6F1D"/>
    <w:rsid w:val="00CF1587"/>
    <w:rsid w:val="00CF48FE"/>
    <w:rsid w:val="00CF6E50"/>
    <w:rsid w:val="00D026A2"/>
    <w:rsid w:val="00D07D57"/>
    <w:rsid w:val="00D13E2F"/>
    <w:rsid w:val="00D16B5C"/>
    <w:rsid w:val="00D25CCD"/>
    <w:rsid w:val="00D40AE4"/>
    <w:rsid w:val="00D44962"/>
    <w:rsid w:val="00D504E6"/>
    <w:rsid w:val="00D605CC"/>
    <w:rsid w:val="00D74D5E"/>
    <w:rsid w:val="00D80C27"/>
    <w:rsid w:val="00D94514"/>
    <w:rsid w:val="00DB15E2"/>
    <w:rsid w:val="00DD7327"/>
    <w:rsid w:val="00DE79B2"/>
    <w:rsid w:val="00DF01E8"/>
    <w:rsid w:val="00E0499E"/>
    <w:rsid w:val="00E174DE"/>
    <w:rsid w:val="00E20E74"/>
    <w:rsid w:val="00E231A0"/>
    <w:rsid w:val="00E34541"/>
    <w:rsid w:val="00E5632C"/>
    <w:rsid w:val="00E7419B"/>
    <w:rsid w:val="00E75A41"/>
    <w:rsid w:val="00E871F0"/>
    <w:rsid w:val="00E9175D"/>
    <w:rsid w:val="00E9215D"/>
    <w:rsid w:val="00EA246E"/>
    <w:rsid w:val="00EB381B"/>
    <w:rsid w:val="00EC4054"/>
    <w:rsid w:val="00EC5500"/>
    <w:rsid w:val="00EC5CDA"/>
    <w:rsid w:val="00ED1EBE"/>
    <w:rsid w:val="00ED558D"/>
    <w:rsid w:val="00ED6F2A"/>
    <w:rsid w:val="00EE230C"/>
    <w:rsid w:val="00EE6E39"/>
    <w:rsid w:val="00EF0F4C"/>
    <w:rsid w:val="00EF0FCE"/>
    <w:rsid w:val="00F03D5A"/>
    <w:rsid w:val="00F10F68"/>
    <w:rsid w:val="00F1346D"/>
    <w:rsid w:val="00F32853"/>
    <w:rsid w:val="00F33A85"/>
    <w:rsid w:val="00F367E7"/>
    <w:rsid w:val="00F45483"/>
    <w:rsid w:val="00F524D1"/>
    <w:rsid w:val="00F663F8"/>
    <w:rsid w:val="00F73F58"/>
    <w:rsid w:val="00F871C9"/>
    <w:rsid w:val="00F873D9"/>
    <w:rsid w:val="00F95DF2"/>
    <w:rsid w:val="00FA0F0F"/>
    <w:rsid w:val="00FB57F6"/>
    <w:rsid w:val="00FB59EB"/>
    <w:rsid w:val="00FC1574"/>
    <w:rsid w:val="00FC78DB"/>
    <w:rsid w:val="00FD2B55"/>
    <w:rsid w:val="00FE2E7F"/>
    <w:rsid w:val="00FE47F5"/>
    <w:rsid w:val="00FE6EF6"/>
    <w:rsid w:val="00FE74FB"/>
    <w:rsid w:val="00FF3FDD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421B6"/>
  <w15:chartTrackingRefBased/>
  <w15:docId w15:val="{A45936AC-75E0-45A9-A493-C10F5BAB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43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67E7"/>
    <w:rPr>
      <w:b/>
      <w:bCs/>
    </w:rPr>
  </w:style>
  <w:style w:type="paragraph" w:styleId="Poprawka">
    <w:name w:val="Revision"/>
    <w:hidden/>
    <w:uiPriority w:val="99"/>
    <w:semiHidden/>
    <w:rsid w:val="004D5E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EFE"/>
  </w:style>
  <w:style w:type="paragraph" w:styleId="Stopka">
    <w:name w:val="footer"/>
    <w:basedOn w:val="Normalny"/>
    <w:link w:val="Stopka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EFE"/>
  </w:style>
  <w:style w:type="character" w:styleId="Odwoaniedokomentarza">
    <w:name w:val="annotation reference"/>
    <w:basedOn w:val="Domylnaczcionkaakapitu"/>
    <w:uiPriority w:val="99"/>
    <w:semiHidden/>
    <w:unhideWhenUsed/>
    <w:rsid w:val="00BA6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D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7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75D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275DC"/>
    <w:pPr>
      <w:spacing w:after="0" w:line="240" w:lineRule="auto"/>
    </w:pPr>
    <w:rPr>
      <w:rFonts w:ascii="Calibri" w:hAnsi="Calibri"/>
      <w:color w:val="000000" w:themeColor="text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75DC"/>
    <w:rPr>
      <w:rFonts w:ascii="Calibri" w:hAnsi="Calibri"/>
      <w:color w:val="000000" w:themeColor="text1"/>
      <w:szCs w:val="21"/>
      <w:lang w:val="pl-PL"/>
    </w:rPr>
  </w:style>
  <w:style w:type="paragraph" w:styleId="NormalnyWeb">
    <w:name w:val="Normal (Web)"/>
    <w:basedOn w:val="Normalny"/>
    <w:uiPriority w:val="99"/>
    <w:unhideWhenUsed/>
    <w:rsid w:val="0035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B0B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BF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cf01">
    <w:name w:val="cf01"/>
    <w:basedOn w:val="Domylnaczcionkaakapitu"/>
    <w:rsid w:val="00BF53F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elonydom.plgbc.org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0099-0BB3-42DB-86E3-C4E003A8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Jelovac</dc:creator>
  <cp:keywords/>
  <dc:description/>
  <cp:lastModifiedBy>Maria Jasiewicz</cp:lastModifiedBy>
  <cp:revision>19</cp:revision>
  <dcterms:created xsi:type="dcterms:W3CDTF">2023-02-24T09:30:00Z</dcterms:created>
  <dcterms:modified xsi:type="dcterms:W3CDTF">2023-02-28T08:15:00Z</dcterms:modified>
</cp:coreProperties>
</file>