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jc w:val="right"/>
        <w:rPr>
          <w:b/>
          <w:b/>
        </w:rPr>
      </w:pPr>
      <w:bookmarkStart w:id="0" w:name="_GoBack"/>
      <w:bookmarkEnd w:id="0"/>
      <w:r>
        <w:rPr>
          <w:b/>
        </w:rPr>
        <w:t xml:space="preserve">Załącznik do wytycznych </w:t>
      </w:r>
    </w:p>
    <w:p>
      <w:pPr>
        <w:pStyle w:val="Heading1"/>
        <w:spacing w:lineRule="auto" w:line="288"/>
        <w:rPr/>
      </w:pPr>
      <w:r>
        <w:rPr/>
        <w:t xml:space="preserve">Zapewnianie dostępności dla poszczególnych obszarów wymagań określonych art. 6 ustawy o zapewnianiu dostępności osobom ze szczególnymi potrzebami   - wymagania </w:t>
      </w:r>
    </w:p>
    <w:p>
      <w:pPr>
        <w:pStyle w:val="Normal"/>
        <w:spacing w:lineRule="auto" w:line="288"/>
        <w:rPr/>
      </w:pPr>
      <w:r>
        <w:rPr/>
        <w:t xml:space="preserve">Ustawą o zapewnianiu dostępności osobom ze szczególnymi potrzebami określono minimalne wymagania służące zapewnianiu dostępności osobom ze szczególnymi potrzebami w 3 obszarach.  W sytuacji gdy istnieją obiektywne trudności w zapewnieniu wymaganej dostępności (określone art. 7 ustawy) niezbędne jest zapewnienie dostępu alternatywnego. </w:t>
      </w:r>
    </w:p>
    <w:p>
      <w:pPr>
        <w:pStyle w:val="Heading2"/>
        <w:numPr>
          <w:ilvl w:val="0"/>
          <w:numId w:val="2"/>
        </w:numPr>
        <w:spacing w:lineRule="auto" w:line="288" w:before="480" w:after="0"/>
        <w:ind w:left="357" w:hanging="357"/>
        <w:rPr/>
      </w:pPr>
      <w:r>
        <w:rPr/>
        <w:t xml:space="preserve">Dostępność architektoniczna </w:t>
      </w:r>
    </w:p>
    <w:p>
      <w:pPr>
        <w:pStyle w:val="Normal"/>
        <w:spacing w:lineRule="auto" w:line="288"/>
        <w:rPr/>
      </w:pPr>
      <w:r>
        <w:rPr/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</w:t>
        <w:br/>
        <w:t xml:space="preserve">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>
      <w:pPr>
        <w:pStyle w:val="Normal"/>
        <w:spacing w:lineRule="auto" w:line="288" w:before="0" w:after="0"/>
        <w:rPr/>
      </w:pPr>
      <w:r>
        <w:rPr/>
        <w:t xml:space="preserve">Minimalny zakres zapewniania dostępności architektonicznej zgodnie z art. 6 ustęp 1 ww. ustawy (wymaganie dotyczy zarówno sytuacji gdy prowadzone są działania inwestycyjno-remontowe jak również przy organizacji szeroko pojętych usług): 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contextualSpacing/>
        <w:rPr>
          <w:b/>
          <w:b/>
        </w:rPr>
      </w:pPr>
      <w:r>
        <w:rPr>
          <w:rStyle w:val="Nagwek3Znak"/>
        </w:rPr>
        <w:t>zapewnienie wolnych od barier poziomych i pionowych przestrzeni komunikacyjnych budynków</w:t>
      </w:r>
      <w:r>
        <w:rPr>
          <w:b/>
        </w:rPr>
        <w:t xml:space="preserve">. </w:t>
      </w:r>
    </w:p>
    <w:p>
      <w:pPr>
        <w:pStyle w:val="ListParagraph"/>
        <w:spacing w:lineRule="auto" w:line="288"/>
        <w:ind w:left="357" w:hanging="0"/>
        <w:rPr/>
      </w:pPr>
      <w:r>
        <w:rPr/>
        <w:t xml:space="preserve">Dla zgodności z ustawą, należy zapewnić trasę wolną od przeszkód w pomieszczeniach budynku </w:t>
        <w:br/>
        <w:t xml:space="preserve">w sposób umożliwiający dostęp do wszystkich pomieszczeń oraz umożliwić pokonanie wysokości pomiędzy piętrami budynku. Zapewnienie dostępności w zakresie wymaganym ustawą nie powinno 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 barwny elementów wnętrz, oznaczenia przegród szklanych) i niewidomych (brak elementów wystających i obniżeń wysokości). Szczegółowe parametry używane do weryfikacji zapewnienia dostępności w omawianym zakresie znajdują się w “Standardach Dostępności dla m.st. Warszawy” (zał. nr 1 do zarządzenia nr 1682/2017   dostęp: </w:t>
      </w:r>
      <w:hyperlink r:id="rId2">
        <w:r>
          <w:rPr>
            <w:rStyle w:val="InternetLink"/>
          </w:rPr>
          <w:t>https://wsparcie.um.warszawa.pl/dostepnosc-architektoniczna</w:t>
        </w:r>
      </w:hyperlink>
      <w:r>
        <w:rPr/>
        <w:t xml:space="preserve"> ) oraz w poradniku „Jak wdrażać ustawę o dostępności?” przygotowanym na zlecenie Ministerstwa Funduszy i Polityki Regionalnej (</w:t>
      </w:r>
      <w:hyperlink r:id="rId3">
        <w:r>
          <w:rPr>
            <w:rStyle w:val="InternetLink"/>
          </w:rPr>
          <w:t>https://www.funduszeeuropejskie.gov.pl/media/96815/Poradnik_wdrazanie.pdf</w:t>
        </w:r>
      </w:hyperlink>
      <w:r>
        <w:rPr/>
        <w:t xml:space="preserve"> )</w:t>
      </w:r>
    </w:p>
    <w:p>
      <w:pPr>
        <w:pStyle w:val="ListParagraph"/>
        <w:numPr>
          <w:ilvl w:val="0"/>
          <w:numId w:val="1"/>
        </w:numPr>
        <w:spacing w:lineRule="auto" w:line="288" w:before="360" w:after="200"/>
        <w:ind w:left="357" w:hanging="357"/>
        <w:rPr/>
      </w:pPr>
      <w:r>
        <w:rPr>
          <w:rStyle w:val="Nagwek3Znak"/>
        </w:rPr>
        <w:t xml:space="preserve">instalacja urządzeń lub zastosowanie środków technicznych i rozwiązań architektonicznych w budynku, które umożliwiają dostęp do wszystkich pomieszczeń, </w:t>
        <w:br/>
        <w:t>z wyłączeniem pomieszczeń technicznych.</w:t>
      </w:r>
      <w:r>
        <w:rPr/>
        <w:br/>
        <w:t xml:space="preserve">W przypadku, gdy dostępność architektoniczna nie może być zapewniona przez projektowanie uniwersalne, należy zastosować rozwiązania dodatkowe jak np. instalacja podnośników czy pochylni. Szczegółowe informacje o zapewnieniu dostępności w omawianym zakresie znajdują się </w:t>
        <w:br/>
        <w:t xml:space="preserve">w “Standardach Dostępności dla m.st. Warszawy”, oraz w poradniku „Jak wdrażać ustawę </w:t>
        <w:br/>
        <w:t xml:space="preserve">o dostępności?” </w:t>
      </w:r>
    </w:p>
    <w:p>
      <w:pPr>
        <w:pStyle w:val="ListParagraph"/>
        <w:numPr>
          <w:ilvl w:val="0"/>
          <w:numId w:val="1"/>
        </w:numPr>
        <w:spacing w:lineRule="auto" w:line="288"/>
        <w:rPr/>
      </w:pPr>
      <w:r>
        <w:rPr>
          <w:rStyle w:val="Nagwek3Znak"/>
        </w:rPr>
        <w:t xml:space="preserve">zapewnienie wstępu do budynku osobie korzystającej z psa asystującego, o którym mowa w art. 2 pkt 11 ustawy z dnia 27 sierpnia 1997 r. o rehabilitacji zawodowej </w:t>
        <w:br/>
        <w:t xml:space="preserve">i społecznej oraz zatrudnianiu osób niepełnosprawnych (Dz. U. z 2020 r. poz. 426, 568 </w:t>
        <w:br/>
        <w:t>i 875).</w:t>
      </w:r>
      <w:r>
        <w:rPr/>
        <w:br/>
        <w:t xml:space="preserve">Niektóre osoby z niepełnosprawnością poruszają się w towarzystwie specjalnie wyszkolonego psa asystującego. Pies ułatwia im pokonywanie barier i umożliwia udział w życiu społecznym.  Realizacja wymagania to zapewnienie możliwości wejścia do budynku osobie ze szczególnymi potrzebami </w:t>
        <w:br/>
        <w:t xml:space="preserve">z psem asystującym. </w:t>
      </w:r>
    </w:p>
    <w:p>
      <w:pPr>
        <w:pStyle w:val="ListParagraph"/>
        <w:numPr>
          <w:ilvl w:val="0"/>
          <w:numId w:val="1"/>
        </w:numPr>
        <w:spacing w:lineRule="auto" w:line="288"/>
        <w:rPr/>
      </w:pPr>
      <w:r>
        <w:rPr>
          <w:rStyle w:val="Nagwek3Znak"/>
        </w:rPr>
        <w:t>zapewnienie osobom ze szczególnymi potrzebami możliwości ewakuacji lub ich uratowania w inny sposób;</w:t>
      </w:r>
      <w:r>
        <w:rPr/>
        <w:t xml:space="preserve"> </w:t>
        <w:br/>
        <w:t xml:space="preserve">Obecnie nie obowiązują regulacje prawne w zakresie ewakuacji osób ze szczególnymi potrzebami inne niż omawiana ustawa. Minimalne działania rekomendowane do podjęcia w tym zakresie to ujęcie </w:t>
        <w:br/>
        <w:t xml:space="preserve">w procedurach ewakuacji zasad w obiekcie uwzględniających ewakuację osób o ograniczonej mobilności i / lub percepcji. </w:t>
      </w:r>
    </w:p>
    <w:p>
      <w:pPr>
        <w:pStyle w:val="Heading2"/>
        <w:numPr>
          <w:ilvl w:val="0"/>
          <w:numId w:val="2"/>
        </w:numPr>
        <w:spacing w:lineRule="auto" w:line="288" w:before="480" w:after="0"/>
        <w:ind w:left="357" w:hanging="357"/>
        <w:rPr/>
      </w:pPr>
      <w:r>
        <w:rPr/>
        <w:t xml:space="preserve">Dostępność cyfrowa </w:t>
      </w:r>
    </w:p>
    <w:p>
      <w:pPr>
        <w:pStyle w:val="Normal"/>
        <w:spacing w:lineRule="auto" w:line="288"/>
        <w:rPr/>
      </w:pPr>
      <w:r>
        <w:rPr/>
        <w:t xml:space="preserve">Minimalne warunki zapewnienia dostępności cyfrowej stron internetowych i aplikacji mobilnych, </w:t>
        <w:br/>
        <w:t xml:space="preserve">w tym dokumentów, multimediów na nich publikowanych określa załącznik do ustawy z dnia </w:t>
        <w:br/>
        <w:t>4 kwietnia 2019 r. o dostępności cyfrowej stron internetowych i aplikacji mobilnych podmiotów publicznych.</w:t>
      </w:r>
    </w:p>
    <w:p>
      <w:pPr>
        <w:pStyle w:val="Normal"/>
        <w:spacing w:lineRule="auto" w:line="288"/>
        <w:rPr/>
      </w:pPr>
      <w:r>
        <w:rPr/>
        <w:t xml:space="preserve">Szczegółowe wytyczne dotyczące warunków zapewniania dostępności cyfrowej w tym wytyczne dotyczące dostępności dokumentów, multimediów zawarte są w Standardzie dostępności cyfrowej Urzedu m.st. Warszawy (dostęp:  </w:t>
      </w:r>
      <w:hyperlink r:id="rId4">
        <w:r>
          <w:rPr>
            <w:rStyle w:val="InternetLink"/>
          </w:rPr>
          <w:t>https://wsparcie.um.warszawa.pl/dostepnosc-cyfrowa</w:t>
        </w:r>
      </w:hyperlink>
      <w:r>
        <w:rPr/>
        <w:softHyphen/>
        <w:t xml:space="preserve">). </w:t>
      </w:r>
    </w:p>
    <w:p>
      <w:pPr>
        <w:pStyle w:val="Heading2"/>
        <w:numPr>
          <w:ilvl w:val="0"/>
          <w:numId w:val="2"/>
        </w:numPr>
        <w:spacing w:lineRule="auto" w:line="288" w:before="480" w:after="0"/>
        <w:ind w:left="357" w:hanging="357"/>
        <w:rPr/>
      </w:pPr>
      <w:r>
        <w:rPr/>
        <w:t xml:space="preserve">Dostępność informacyjno – komunikacyjna </w:t>
      </w:r>
    </w:p>
    <w:p>
      <w:pPr>
        <w:pStyle w:val="Normal"/>
        <w:spacing w:lineRule="auto" w:line="288"/>
        <w:rPr/>
      </w:pPr>
      <w:r>
        <w:rPr/>
        <w:t xml:space="preserve">Artykuł 6 pkt. 3 ustawy o zapewnieniu dostępności osobom ze szczególnymi potrzebami z dnia </w:t>
        <w:br/>
        <w:t xml:space="preserve">19 lipca 2019 r. określa minimalne wymagania służące zapewnieniu dostępności informacyjno-komunikacyjnej. </w:t>
      </w:r>
    </w:p>
    <w:p>
      <w:pPr>
        <w:pStyle w:val="Normal"/>
        <w:spacing w:lineRule="auto" w:line="288"/>
        <w:rPr/>
      </w:pPr>
      <w:r>
        <w:rPr/>
        <w:t xml:space="preserve">Szczegółowo wymagania ustawowe i sposób ich realizacji przedstawiony jest w Wytycznych informacyjno-komunikacyjnych (dostęp </w:t>
      </w:r>
      <w:hyperlink r:id="rId5">
        <w:r>
          <w:rPr>
            <w:rStyle w:val="InternetLink"/>
          </w:rPr>
          <w:t>https://wsparcie.um.warszawa.pl/dostepnosc-informacyjno-komunikacyjna</w:t>
        </w:r>
      </w:hyperlink>
      <w:r>
        <w:rPr/>
        <w:t xml:space="preserve">). </w:t>
      </w:r>
    </w:p>
    <w:p>
      <w:pPr>
        <w:pStyle w:val="Normal"/>
        <w:spacing w:lineRule="auto" w:line="288" w:before="0" w:after="0"/>
        <w:rPr/>
      </w:pPr>
      <w:r>
        <w:rPr/>
        <w:t>Minimalny zakres zapewniania dostępności zgodnie z art. 6 ustęp 3 ww. ustawy:</w:t>
      </w:r>
    </w:p>
    <w:p>
      <w:pPr>
        <w:pStyle w:val="ListParagraph"/>
        <w:numPr>
          <w:ilvl w:val="0"/>
          <w:numId w:val="3"/>
        </w:numPr>
        <w:spacing w:lineRule="auto" w:line="288"/>
        <w:rPr/>
      </w:pPr>
      <w:r>
        <w:rPr>
          <w:rStyle w:val="Nagwek3Znak"/>
        </w:rPr>
        <w:t xml:space="preserve">obsługa z wykorzystaniem środków wspierających komunikowanie się lub przez wykorzystanie zdalnego dostępu on-line do usługi tłumacza przez strony internetowe </w:t>
        <w:br/>
        <w:t xml:space="preserve">i aplikacje, </w:t>
      </w:r>
      <w:r>
        <w:rPr/>
        <w:br/>
        <w:t xml:space="preserve">Aby osoby Głuche mogły komunikować się z podmiotem świadczącym usługę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</w:t>
        <w:br/>
        <w:t xml:space="preserve">c) komunikacja audiowizualna, w tym z wykorzystaniem komunikatorów internetowych, </w:t>
        <w:br/>
        <w:t xml:space="preserve">d) przesyłanie faksów, e) strony internetowe spełniające standardy dostępności dla osób niepełnosprawnych. Należy zadbać, aby w ramach realizacji zadania osoby ze szczególnymi potrzebami miały możliwość skorzystania z różnych form kontaktu. </w:t>
      </w:r>
    </w:p>
    <w:p>
      <w:pPr>
        <w:pStyle w:val="ListParagraph"/>
        <w:numPr>
          <w:ilvl w:val="0"/>
          <w:numId w:val="3"/>
        </w:numPr>
        <w:spacing w:lineRule="auto" w:line="288" w:before="360" w:after="200"/>
        <w:ind w:left="357" w:hanging="357"/>
        <w:rPr/>
      </w:pPr>
      <w:r>
        <w:rPr>
          <w:rStyle w:val="Nagwek3Znak"/>
        </w:rPr>
        <w:t xml:space="preserve">instalację urządzeń lub innych środków technicznych do obsługi osób słabosłyszących, </w:t>
        <w:br/>
        <w:t>w szczególności pętli indukcyjnych, systemów FM lub urządzeń opartych o inne technologie, których celem jest wspomaganie słyszenia.</w:t>
      </w:r>
      <w:r>
        <w:rPr/>
        <w:br/>
        <w:t>Środki wspomagające słyszenie to rozwiązania dla osób słabosłyszących, które korzystają</w:t>
        <w:br/>
        <w:t>z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Sygnał przekazywany jest do aparatu z nagłośnienia lub mikrofonu. Stanowiska (miejsca obsługi) oraz sale wyposażone w pętlę indukcyjną muszą być odpowiednio oznaczone piktogramem. Pętle indukcyjne muszą spełniać wymogi aktualnej normy PN-EN 60118-4. Wyróżniamy:</w:t>
      </w:r>
    </w:p>
    <w:p>
      <w:pPr>
        <w:pStyle w:val="ListParagraph"/>
        <w:numPr>
          <w:ilvl w:val="0"/>
          <w:numId w:val="4"/>
        </w:numPr>
        <w:spacing w:lineRule="auto" w:line="288"/>
        <w:rPr/>
      </w:pPr>
      <w:r>
        <w:rPr/>
        <w:t xml:space="preserve">pętle stanowiskowe (okienkowe), które mają najlepsze zastosowanie w punktach bezpośredniej obsługi, jeden na jeden. Ze względu na zdecydowanie niższą jakość dźwięku dla osób o znacznym ubytku słuchu nie rekomenduje się stosowania stanowiskowych pętli indukcyjnych przenośnych. </w:t>
      </w:r>
    </w:p>
    <w:p>
      <w:pPr>
        <w:pStyle w:val="ListParagraph"/>
        <w:numPr>
          <w:ilvl w:val="0"/>
          <w:numId w:val="4"/>
        </w:numPr>
        <w:spacing w:lineRule="auto" w:line="288"/>
        <w:rPr/>
      </w:pPr>
      <w:r>
        <w:rPr/>
        <w:t xml:space="preserve">pętle powierzchniowe, które mają zastosowanie w salach i na widowniach. </w:t>
      </w:r>
    </w:p>
    <w:p>
      <w:pPr>
        <w:pStyle w:val="Normal"/>
        <w:spacing w:lineRule="auto" w:line="288"/>
        <w:ind w:left="360" w:hanging="0"/>
        <w:rPr/>
      </w:pPr>
      <w:r>
        <w:rPr/>
        <w:t xml:space="preserve">Alternatywnie można stosować systemy wspomagające słyszenie FM lub wykorzystujące inne technologie. </w:t>
      </w:r>
    </w:p>
    <w:p>
      <w:pPr>
        <w:pStyle w:val="ListParagraph"/>
        <w:numPr>
          <w:ilvl w:val="0"/>
          <w:numId w:val="3"/>
        </w:numPr>
        <w:spacing w:lineRule="auto" w:line="288"/>
        <w:rPr/>
      </w:pPr>
      <w:r>
        <w:rPr>
          <w:rStyle w:val="Nagwek3Znak"/>
        </w:rPr>
        <w:t xml:space="preserve">zapewnienie na stronie internetowej informacji o zakresie jego działalności – w postaci elektronicznego pliku zawierającego tekst odczytywalny maszynowo, nagrania treści </w:t>
        <w:br/>
        <w:t>w polskim języku migowym oraz informacji w tekście łatwym do czytania.</w:t>
      </w:r>
      <w:r>
        <w:rPr/>
        <w:t xml:space="preserve"> </w:t>
        <w:br/>
        <w:t xml:space="preserve">Ustawa nakłada obowiązek zamieszczenia na stronie internetowej podmiotu informacji o jego działalności ( w wypadku zadań zlecanych / powierzanych informacja o zadaniu)  oraz dodatkowo jej opracowanie w dwóch formatach: w tekście łatwym do czytania i rozumienia oraz w polskim języku migowym (PJM).  W oparciu o podstawową informację o zakresie działalności podmiotu powstają adaptacje informacji w tekście łatwym do czytania i rozumienia (ETR) oraz w polskim języku migowym (PJM). Podstawowa informacja powinna być umieszczona w formie tekstu na stronie internetowej podmiotu publicznego zgodnie ze standardem WCAG 2.1  i być zgodna </w:t>
        <w:br/>
        <w:t>z zasadami prostego języka.</w:t>
      </w:r>
    </w:p>
    <w:p>
      <w:pPr>
        <w:pStyle w:val="Heading3"/>
        <w:numPr>
          <w:ilvl w:val="0"/>
          <w:numId w:val="3"/>
        </w:numPr>
        <w:spacing w:lineRule="auto" w:line="288"/>
        <w:rPr/>
      </w:pPr>
      <w:r>
        <w:rPr/>
        <w:t xml:space="preserve">zapewnienie, na wniosek osoby ze szczególnymi potrzebami, komunikacji z podmiotem </w:t>
        <w:br/>
        <w:t xml:space="preserve">(w zakresie realizowanego na podstawie umowy zadania) w formie określonej w tym wniosku. </w:t>
      </w:r>
    </w:p>
    <w:p>
      <w:pPr>
        <w:pStyle w:val="ListParagraph"/>
        <w:spacing w:lineRule="auto" w:line="288" w:before="0" w:after="200"/>
        <w:ind w:left="360" w:hanging="0"/>
        <w:contextualSpacing/>
        <w:rPr/>
      </w:pPr>
      <w:r>
        <w:rPr/>
        <w:t xml:space="preserve">Zgodnie z ustawą osoby ze szczególnymi potrzebami mają prawo komunikować się z podmiotem </w:t>
        <w:br/>
        <w:t xml:space="preserve">w sposób przez nie wybrany. </w:t>
      </w:r>
    </w:p>
    <w:sectPr>
      <w:footerReference w:type="default" r:id="rId6"/>
      <w:type w:val="nextPage"/>
      <w:pgSz w:w="11906" w:h="16838"/>
      <w:pgMar w:left="1417" w:right="991" w:header="0" w:top="851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0093103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rFonts w:eastAsia="" w:cs="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35c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ab3437"/>
    <w:pPr>
      <w:keepNext w:val="true"/>
      <w:keepLines/>
      <w:spacing w:before="240" w:after="0"/>
      <w:outlineLvl w:val="0"/>
    </w:pPr>
    <w:rPr>
      <w:rFonts w:ascii="Calibri" w:hAnsi="Calibri" w:eastAsia="" w:cs="" w:cstheme="majorBidi" w:eastAsiaTheme="majorEastAsia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982aa4"/>
    <w:pPr>
      <w:keepNext w:val="true"/>
      <w:keepLines/>
      <w:spacing w:before="40" w:after="0"/>
      <w:outlineLvl w:val="1"/>
    </w:pPr>
    <w:rPr>
      <w:rFonts w:ascii="Calibri" w:hAnsi="Calibri" w:eastAsia="" w:cs="" w:cstheme="majorBidi" w:eastAsiaTheme="majorEastAsia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232eb9"/>
    <w:pPr>
      <w:keepNext w:val="true"/>
      <w:keepLines/>
      <w:spacing w:before="40" w:after="0"/>
      <w:outlineLvl w:val="2"/>
    </w:pPr>
    <w:rPr>
      <w:rFonts w:eastAsia="" w:cs="" w:cstheme="majorBidi" w:eastAsiaTheme="majorEastAsia"/>
      <w:b/>
      <w:color w:val="000000" w:themeColor="text1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982aa4"/>
    <w:rPr>
      <w:rFonts w:ascii="Calibri" w:hAnsi="Calibri" w:eastAsia="" w:cs="" w:cstheme="majorBidi" w:eastAsiaTheme="majorEastAsia"/>
      <w:b/>
      <w:color w:val="000000" w:themeColor="text1"/>
      <w:sz w:val="28"/>
      <w:szCs w:val="26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ab3437"/>
    <w:rPr>
      <w:rFonts w:ascii="Calibri" w:hAnsi="Calibri" w:eastAsia="" w:cs="" w:cstheme="majorBidi" w:eastAsiaTheme="majorEastAsia"/>
      <w:b/>
      <w:color w:val="000000" w:themeColor="text1"/>
      <w:sz w:val="28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232eb9"/>
    <w:rPr>
      <w:rFonts w:eastAsia="" w:cs="" w:cstheme="majorBidi" w:eastAsiaTheme="majorEastAsia"/>
      <w:b/>
      <w:color w:val="000000" w:themeColor="text1"/>
      <w:sz w:val="24"/>
      <w:szCs w:val="24"/>
    </w:rPr>
  </w:style>
  <w:style w:type="character" w:styleId="InternetLink">
    <w:name w:val="Hyperlink"/>
    <w:basedOn w:val="DefaultParagraphFont"/>
    <w:uiPriority w:val="99"/>
    <w:unhideWhenUsed/>
    <w:rsid w:val="002a2b3f"/>
    <w:rPr>
      <w:color w:val="0563C1" w:themeColor="hyperlink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94f4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94f4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506983"/>
    <w:pPr>
      <w:spacing w:before="0" w:after="20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94f4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994f4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sparcie.um.warszawa.pl/dostepnosc-architektoniczna" TargetMode="External"/><Relationship Id="rId3" Type="http://schemas.openxmlformats.org/officeDocument/2006/relationships/hyperlink" Target="https://www.funduszeeuropejskie.gov.pl/media/96815/Poradnik_wdrazanie.pdf" TargetMode="External"/><Relationship Id="rId4" Type="http://schemas.openxmlformats.org/officeDocument/2006/relationships/hyperlink" Target="https://wsparcie.um.warszawa.pl/dostepnosc-cyfrowa" TargetMode="External"/><Relationship Id="rId5" Type="http://schemas.openxmlformats.org/officeDocument/2006/relationships/hyperlink" Target="https://wsparcie.um.warszawa.pl/dostepnosc-informacyjno-komunikacyjna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4</Pages>
  <Words>1137</Words>
  <Characters>7854</Characters>
  <CharactersWithSpaces>9007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2021-07-27T10:04:00Z</dcterms:created>
  <dc:creator>Kończyk Donata</dc:creator>
  <dc:description/>
  <dc:language>en-GB</dc:language>
  <cp:lastModifiedBy>Robak Katarzyna</cp:lastModifiedBy>
  <dcterms:modified xsi:type="dcterms:W3CDTF">2021-07-27T10:04:00Z</dcterms:modified>
  <cp:revision>2</cp:revision>
  <dc:subject/>
  <dc:title>wytyczne dostepność w dotacjach załącznik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