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0"/>
        <w:rPr>
          <w:b w:val="false"/>
          <w:b w:val="false"/>
        </w:rPr>
      </w:pPr>
      <w:r>
        <w:rPr/>
        <w:t>Zapewnianie dostępności osobom ze szczególnymi potrzebami w kontekście realizacji przez organizacje pozarządowe zadań publicznych m.st. Warszawy</w:t>
      </w:r>
    </w:p>
    <w:p>
      <w:pPr>
        <w:pStyle w:val="Normal"/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 xml:space="preserve">Wytyczne Pełnomocniczki Prezydenta m.st. Warszawy ds. dostępności oraz Pełnomocniczki Prezydenta m.st. Warszawy ds. współpracy z organizacjami pozarządowymi </w:t>
      </w:r>
    </w:p>
    <w:p>
      <w:pPr>
        <w:pStyle w:val="Heading2"/>
        <w:numPr>
          <w:ilvl w:val="0"/>
          <w:numId w:val="16"/>
        </w:numPr>
        <w:spacing w:before="720" w:after="0"/>
        <w:ind w:left="357" w:hanging="357"/>
        <w:rPr/>
      </w:pPr>
      <w:r>
        <w:rPr/>
        <w:t>Wstęp</w:t>
      </w:r>
    </w:p>
    <w:p>
      <w:pPr>
        <w:pStyle w:val="Normal"/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>Przy opracowaniu wytycznych korzystaliśmy z materiałów otrzymanych z Ministerstwa Funduszy i Polityki Regionalnej dotyczących dostępności przy zlecaniu zadań.</w:t>
      </w:r>
    </w:p>
    <w:p>
      <w:pPr>
        <w:pStyle w:val="Normal"/>
        <w:spacing w:lineRule="auto" w:line="300" w:before="0" w:after="240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 xml:space="preserve">Wprowadzenie w umowach dotacyjnych zapisów dot. zapewniania dostępności jest obligatoryjne. </w:t>
      </w:r>
    </w:p>
    <w:p>
      <w:pPr>
        <w:pStyle w:val="Normal"/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</w:rPr>
        <w:t>Wytyczne obejmują kształtowanie warunków dostępności przy zlecaniu zadań publicznych przez m.st. Warszawę. Inne obszary działalności organizacji w kontekście dostępności regulowane są przepisami odrębnymi.</w:t>
      </w:r>
    </w:p>
    <w:p>
      <w:pPr>
        <w:pStyle w:val="Normal"/>
        <w:spacing w:lineRule="auto" w:line="300" w:before="0" w:after="120"/>
        <w:rPr>
          <w:rFonts w:cs="Calibri" w:cstheme="minorHAnsi"/>
          <w:b/>
          <w:b/>
        </w:rPr>
      </w:pPr>
      <w:r>
        <w:rPr>
          <w:rFonts w:cs="Calibri" w:cstheme="minorHAnsi"/>
        </w:rPr>
        <w:t>Zalecamy również wprowadzanie zapisów dot. dostępności do ogłoszeń konkursowych. Począwszy od 5 września 2021 roku wszystkie umowy o wsparcie/powierzenie realizacji zadania publicznego obligatoryjnie muszą zawierać warunki służące zapewnieniu dostępności, nawet w przypadku gdy w ogłoszeniu, na podstawie którego złożona była oferta, nie zawarto szczegółowych wymagań dot. zapewniania dostępności.</w:t>
      </w:r>
      <w:r>
        <w:rPr>
          <w:rFonts w:cs="Calibri" w:cstheme="minorHAnsi"/>
          <w:b/>
        </w:rPr>
        <w:t xml:space="preserve"> </w:t>
      </w:r>
    </w:p>
    <w:p>
      <w:pPr>
        <w:pStyle w:val="Normal"/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>Wytyczne zawierają przykładowe rozwiązania i wskazówki dla biur Urzędu m.st. Warszawy i dzielnic m.st. Warszawy, możliwe do wprowadzenia w konkursach dotacyjnych dla organizacji pozarządowych. Z uwagi na różnorodność i wielość zadań ogłaszanych w trybie konkursów w m.st. Warszawie nie ma możliwości przygotowania jednolitych, szczegółowych wymagań lub gotowych postanowień dla wszystkich konkursów. Decyzje dotyczące zapewniania dostępności przez organizacje pozarządowe w poszczególnych ogłoszeniach konkursowych i umowach dotacyjnych podejmowane są przez dyrektorów biur Urzędu m.st. Warszawy/burmistrzów dzielnic m.st. Warszawy, przygotowujących projekty ogłoszeń konkursowych. Przedmiot zadania ma kluczowy wpływ na określenie szczegółowych wymagań związanych z zapewnieniem dostępności w treści umów dotacyjnych oraz ogłoszeń konkursowych.</w:t>
      </w:r>
    </w:p>
    <w:p>
      <w:pPr>
        <w:pStyle w:val="Heading2"/>
        <w:numPr>
          <w:ilvl w:val="0"/>
          <w:numId w:val="16"/>
        </w:numPr>
        <w:rPr/>
      </w:pPr>
      <w:r>
        <w:rPr/>
        <w:t>Podstawa prawna</w:t>
      </w:r>
    </w:p>
    <w:p>
      <w:pPr>
        <w:pStyle w:val="Normal"/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 xml:space="preserve">Obowiązki organizacji pozarządowych związane z zapewnianiem dostępności wynikają z art. 4 ust. 3 i ust. 4 oraz art. 5 ust. 1 i ust. 2 ustawy o zapewnianiu dostępności osobom ze szczególnymi potrzebami. Przepisy przejściowe zawarte w art. 73 pkt. 3 tej ustawy wskazują, iż obowiązki zawarte w art. 4 ust. 3 i ust. 4, art. 5 ust. 2 wchodzą w życie z dniem 5 września 2021 r. Przepisy te dotyczą umów związanych z realizowaniem zleconych zadań finansowanych z udziałem środków publicznych. Ustawa nie przewiduje konieczności aneksowania obowiązujących umów. </w:t>
      </w:r>
    </w:p>
    <w:p>
      <w:pPr>
        <w:pStyle w:val="Normal"/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>W zakresie umów, których przedmiotem jest realizacja zadań publicznych finansowanych z udziałem środków publicznych ustawodawca założył, że podmiot publiczny poprzez odpowiednie kształtowanie postanowień umowy zobowiąże organizacje pozarządowe do zapewnienia dostępności osobom ze szczególnymi potrzebami. Dostępność musi być zapewniona co najmniej w zakresie minimalnych wymagań określonych w art. 6 ustawy</w:t>
      </w:r>
      <w:r>
        <w:rPr>
          <w:rStyle w:val="EndnoteAnchor"/>
          <w:rFonts w:cs="Calibri" w:cstheme="minorHAnsi"/>
          <w:b/>
          <w:bCs/>
        </w:rPr>
        <w:endnoteReference w:id="2"/>
      </w:r>
      <w:r>
        <w:rPr>
          <w:rFonts w:cs="Calibri" w:cstheme="minorHAnsi"/>
        </w:rPr>
        <w:t xml:space="preserve"> i o ile to możliwe z uwzględnieniem zasad uniwersalnego projektowania</w:t>
      </w:r>
      <w:r>
        <w:rPr>
          <w:rStyle w:val="EndnoteAnchor"/>
          <w:rFonts w:cs="Calibri" w:cstheme="minorHAnsi"/>
          <w:b/>
          <w:bCs/>
        </w:rPr>
        <w:endnoteReference w:id="3"/>
      </w:r>
      <w:r>
        <w:rPr>
          <w:rFonts w:cs="Calibri" w:cstheme="minorHAnsi"/>
        </w:rPr>
        <w:t>. Umowa musi określać zakres obowiązku stosownie do zakresu merytorycznego zlecanego zadania. Obowiązek zapewnienia dostępności dotyczy konkretnego zlecanego zadania publicznego i zakres obowiązku zapewnienia dostępności powinien zostać określony w umowie.</w:t>
      </w:r>
    </w:p>
    <w:p>
      <w:pPr>
        <w:pStyle w:val="Normal"/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>W kontekście obowiązków związanych z procesem tworzenia, zawierania i realizacji umów, ustawa z dnia 19 lipca 2019 r. o zapewnianiu dostępności osobom ze szczególnymi potrzebami wprowadza następujące regulacje:</w:t>
      </w:r>
    </w:p>
    <w:p>
      <w:pPr>
        <w:pStyle w:val="ListParagraph"/>
        <w:numPr>
          <w:ilvl w:val="0"/>
          <w:numId w:val="9"/>
        </w:numPr>
        <w:spacing w:lineRule="auto" w:line="300" w:before="0" w:after="240"/>
        <w:contextualSpacing/>
        <w:rPr>
          <w:rFonts w:cs="Calibri" w:cstheme="minorHAnsi"/>
        </w:rPr>
      </w:pPr>
      <w:r>
        <w:rPr>
          <w:rFonts w:cs="Calibri" w:cstheme="minorHAnsi"/>
        </w:rPr>
        <w:t xml:space="preserve">art. 4 ust. 3 stanowi, że w przypadku zlecania lub powierzania, na podstawie umowy, realizacji zadań publicznych finansowanych z udziałem środków publicznych lub udzielania zamówień publicznych podmiotom innym niż podmioty publiczne, podmiot publiczny jest obowiązany do określania w treści umowy warunków służących zapewnieniu dostępności osobom ze szczególnymi potrzebami w zakresie tych zadań publicznych lub zamówień publicznych, z uwzględnieniem minimalnych wymagań, o których mowa w art. 6 tej ustawy; </w:t>
      </w:r>
    </w:p>
    <w:p>
      <w:pPr>
        <w:pStyle w:val="ListParagraph"/>
        <w:numPr>
          <w:ilvl w:val="0"/>
          <w:numId w:val="9"/>
        </w:numPr>
        <w:spacing w:lineRule="auto" w:line="300" w:before="0" w:after="240"/>
        <w:contextualSpacing/>
        <w:rPr>
          <w:rFonts w:cs="Calibri" w:cstheme="minorHAnsi"/>
        </w:rPr>
      </w:pPr>
      <w:r>
        <w:rPr>
          <w:rFonts w:cs="Calibri" w:cstheme="minorHAnsi"/>
        </w:rPr>
        <w:t>art. 4 ust. 4 uszczegółowił, że zapewnienie dostępności osobom ze szczególnymi potrzebami w ramach umowy, o której mowa w art. 4 ust. 3, następuje, o ile jest to możliwe, z uwzględnieniem uniwersalnego projektowania;</w:t>
      </w:r>
    </w:p>
    <w:p>
      <w:pPr>
        <w:pStyle w:val="ListParagraph"/>
        <w:numPr>
          <w:ilvl w:val="0"/>
          <w:numId w:val="9"/>
        </w:numPr>
        <w:spacing w:lineRule="auto" w:line="300" w:before="0" w:after="240"/>
        <w:contextualSpacing/>
        <w:rPr>
          <w:rFonts w:cs="Calibri" w:cstheme="minorHAnsi"/>
        </w:rPr>
      </w:pPr>
      <w:r>
        <w:rPr>
          <w:rFonts w:cs="Calibri" w:cstheme="minorHAnsi"/>
        </w:rPr>
        <w:t xml:space="preserve">art. 5 ust. 2 wskazuje, że podmiot inny niż publiczny w przypadku realizacji umowy z podmiotem publicznym finansowanej ze środków publicznych jest zobowiązany do zapewnienia dostępności osobom ze szczególnymi potrzebami w zakresie określonym w tej umowie. </w:t>
      </w:r>
    </w:p>
    <w:p>
      <w:pPr>
        <w:pStyle w:val="P0"/>
        <w:spacing w:lineRule="auto" w:line="300" w:beforeAutospacing="0" w:before="0" w:afterAutospacing="0" w:after="240"/>
        <w:textAlignment w:val="baseline"/>
        <w:rPr>
          <w:rFonts w:ascii="Calibri" w:hAnsi="Calibri" w:cs="Calibri" w:asciiTheme="minorHAnsi" w:cstheme="minorHAnsi" w:hAnsiTheme="minorHAnsi"/>
          <w:color w:val="000000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</w:rPr>
        <w:t>„</w:t>
      </w: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</w:rPr>
        <w:t>Uniwersalne projektowanie” oznacza projektowanie produktów, środowiska, programów i usług w taki sposób, by były użyteczne dla wszystkich, w możliwie największym stopniu, bez potrzeby adaptacji lub specjalistycznego projektowania. „Uniwersalne projektowanie” nie wyklucza pomocy technicznych dla szczególnych grup osób niepełnosprawnych, jeżeli jest to potrzebne (art. 2 Konwencji o prawach osób niepełnosprawnych).</w:t>
      </w:r>
    </w:p>
    <w:p>
      <w:pPr>
        <w:pStyle w:val="P0"/>
        <w:spacing w:lineRule="auto" w:line="300" w:beforeAutospacing="0" w:before="0" w:afterAutospacing="0" w:after="240"/>
        <w:textAlignment w:val="baseline"/>
        <w:rPr>
          <w:rFonts w:ascii="Calibri" w:hAnsi="Calibri" w:cs="Calibri" w:asciiTheme="minorHAnsi" w:cstheme="minorHAnsi" w:hAnsiTheme="minorHAnsi"/>
          <w:color w:val="000000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</w:rPr>
        <w:t>„</w:t>
      </w: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</w:rPr>
        <w:t>Racjonalne usprawnienie” oznacza konieczne i odpowiednie zmiany i dostosowania, nienakładające nieproporcjonalnego lub nadmiernego obciążenia, jeśli jest to potrzebne w konkretnym przypadku, w celu zapewnienia osobom niepełnosprawnym możliwości korzystania z wszelkich praw człowieka i podstawowych wolności oraz ich wykonywania na zasadzie równości z innymi osobami (art. 2 Konwencji o prawach osób niepełnosprawnych).</w:t>
      </w:r>
    </w:p>
    <w:p>
      <w:pPr>
        <w:pStyle w:val="Normal"/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 xml:space="preserve">Z zapisów ustawy wynika, że stanem wymaganym jest spełnienie minimalnych wymagań określonych w art. 6. Szczegółowy opis </w:t>
      </w:r>
      <w:r>
        <w:rPr/>
        <w:t xml:space="preserve">wymagań wszystkich minimalnych wymagań określonych art. 6 ustawy zawiera załącznik do wytycznych. </w:t>
      </w:r>
      <w:r>
        <w:rPr>
          <w:rFonts w:cs="Calibri" w:cstheme="minorHAnsi"/>
        </w:rPr>
        <w:t>W wypadku braku obiektywnych możliwości zapewnienia dostępności np. z powodów technicznych lub prawnych bezwzględnie wymagane jest zapewnienie odbiorcom ze szczególnymi potrzebami w ramach realizowanego zadania publicznego dostępu alternatywnego</w:t>
      </w:r>
      <w:r>
        <w:rPr>
          <w:rStyle w:val="EndnoteAnchor"/>
          <w:rFonts w:cs="Calibri" w:cstheme="minorHAnsi"/>
          <w:b/>
          <w:bCs/>
        </w:rPr>
        <w:endnoteReference w:id="4"/>
      </w:r>
      <w:r>
        <w:rPr>
          <w:rFonts w:cs="Calibri" w:cstheme="minorHAnsi"/>
        </w:rPr>
        <w:t>. Najważniejsze jest, żeby osoba ze szczególnymi potrzebami nie była nigdy pozostawiona sama sobie. Osoba ze szczególnymi potrzebami, zgodnie z definicją ujętą w ustawie, to osoba, „która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osobami”. Do grupy osób ze szczególnymi potrzebami należy zaliczyć osoby z niepełnosprawnością lub inne osoby mające trwale lub czasowo naruszoną sprawność w zakresie mobilności czy percepcji (np. ludzie poruszający się przy pomocy kul, protez, wózków, przewlekle chorujący, niesłyszący, słabosłyszący, niewidomi, słabowidzący, z trudnościami manualnymi i poznawczymi, niekomunikujący się werbalnie, osoby z wózkiem dziecięcym, w podeszłym wieku).</w:t>
      </w:r>
    </w:p>
    <w:p>
      <w:pPr>
        <w:pStyle w:val="Normal"/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Heading2"/>
        <w:numPr>
          <w:ilvl w:val="0"/>
          <w:numId w:val="0"/>
        </w:numPr>
        <w:ind w:left="360" w:hanging="0"/>
        <w:rPr/>
      </w:pPr>
      <w:r>
        <w:rPr/>
        <w:t>III. Ogłoszenia konkursowe</w:t>
      </w:r>
    </w:p>
    <w:p>
      <w:pPr>
        <w:pStyle w:val="Normal"/>
        <w:spacing w:lineRule="auto" w:line="300" w:before="0" w:after="120"/>
        <w:rPr/>
      </w:pPr>
      <w:r>
        <w:rPr/>
        <w:t xml:space="preserve">W przypadku zadań jednorodnych o rozpoznanym sposobie ich realizacji w momencie ogłaszania konkursu Zleceniobiorca powinien określić wymagania związane z zapewnieniem dostępności. </w:t>
      </w:r>
    </w:p>
    <w:p>
      <w:pPr>
        <w:pStyle w:val="Normal"/>
        <w:spacing w:lineRule="auto" w:line="300" w:before="0" w:after="120"/>
        <w:rPr/>
      </w:pPr>
      <w:r>
        <w:rPr/>
        <w:t xml:space="preserve">Nakładając na Zleceniobiorcę obowiązki związane z zapewnieniem dostępności, biuro Urzędu m.st. Warszawy/dzielnica m.st. Warszawy powinno zaplanować w ogłoszeniu konkursowym wysokość przekazanych środków, z uwzględnieniem realizacji zadań w sposób dostępny, tak, aby Zleceniobiorca nie musiał angażować dodatkowych zasobów finansowych na ten cel poza kosztami realizacji zadania publicznego, wskazanymi w ofercie. </w:t>
      </w:r>
    </w:p>
    <w:p>
      <w:pPr>
        <w:pStyle w:val="Normal"/>
        <w:spacing w:lineRule="auto" w:line="300" w:before="0" w:after="240"/>
        <w:rPr>
          <w:rFonts w:cs="Calibri" w:cstheme="minorHAnsi"/>
          <w:bCs/>
        </w:rPr>
      </w:pPr>
      <w:r>
        <w:rPr>
          <w:rFonts w:cs="Calibri" w:cstheme="minorHAnsi"/>
          <w:bCs/>
        </w:rPr>
        <w:t xml:space="preserve">Środki finansowe w ramach realizacji zadania publicznego, w zależności od zapisów ogłoszeń konkursowych mogą być przeznaczone na pokrycie wydatków związanych z zapewnianiem dostępności przy realizacji zleconych zadań publicznych. W zależności od skali i charakteru wydatków dotacje będą pokrywane ze środków bieżących lub inwestycyjnych biur Urzędu m.st. Warszawy i dzielnic m.st. Warszawy. Decyzja dotycząca tego czy dane zadanie wymaga środków inwestycyjnych pozostaje w gestii biura Urzędu m.st. Warszawy/dzielnicy m.st. Warszawy. </w:t>
      </w:r>
    </w:p>
    <w:p>
      <w:pPr>
        <w:pStyle w:val="Normal"/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>Przy konstruowaniu zapisów ogłoszeń konkursowych każdorazowo biuro Urzędu m.st. Warszawy/dzielnica m.st. Warszawy, przeprowadzające konkurs, decyduje czy w ramach realizacji zadań publicznych Zleceniobiorcy mogą ponosić wydatki inwestycyjne, by odpowiednio zaplanować środki finansowe na realizację zadań w budżecie biura Urzędu m.st. Warszawy/dzielnicy m.st. Warszawy. Wskazanie konkretnych paragrafów oraz odpowiednich postanowień dotyczących realizacji inwestycji musi znaleźć się w ogłoszeniu konkursowym wraz z ewentualnym przypisaniem wysokości środków do paragrafu inwestycyjnego.</w:t>
      </w:r>
    </w:p>
    <w:p>
      <w:pPr>
        <w:pStyle w:val="Normal"/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>Przy wyborze finansowania/dofinansowania zadań jedynie ze środków bieżących w ramach zadania Zleceniobiorca nie może dokonywać zakupu środków trwałych. W świetle obecnych zapisów zawartych w art. 3 ust. 1 pkt 15 ustawy o rachunkowości środki trwałe to rzeczowe aktywa trwałe i zrównane z nimi, o przewidywanym okresie ekonomicznej użyteczności dłuższym niż rok, kompletne, zdatne do użytku i przeznaczone na potrzeby jednostki. Limit kwoty, od której liczy się środki trwałe to 10.000 złotych (o ile organizacja, w dokumentach wewnętrznych, nie ustawiła limitu niżej). W ramach środków bieżących można dopuścić dokonywanie remontu lokali w ramach kosztów realizacji działań. Zgodnie z art. 3 pkt 8 ustawy z dnia 7 lipca 1994 r. Prawo Budowlane - remont to wykonywanie w istniejącym obiekcie budowlanym robót budowlanych polegających na odtworzeniu stanu pierwotnego, a niestanowiących bieżącej konserwacji, przy czym dopuszcza się stosowanie wyrobów budowlanych innych niż użyto w stanie pierwotnym. Wobec powyższego istotą remontu jest przywrócenie (odtworzenie) pierwotnego stanu technicznego środka trwałego z dnia oddania do użytkowania, niezmieniającego jego charakteru i funkcji, następujące w trakcie eksploatacji środka trwałego i wynikające z tej eksploatacji. Niedopuszczalne są działania mające na celu modernizację (np.: wymiana przedmiotu dobrze działającego na inny posiadający lepsze parametry), która zwiększy wartość środka trwałego (budynku, lokalu). Środki mogą być wykorzystywane na koszty remontu i dostosowania do przepisów BHP, PPOŻ, celem zapewnienia minimalnej wymaganej dostępności.</w:t>
      </w:r>
    </w:p>
    <w:p>
      <w:pPr>
        <w:pStyle w:val="Heading2"/>
        <w:numPr>
          <w:ilvl w:val="0"/>
          <w:numId w:val="0"/>
        </w:numPr>
        <w:ind w:left="0" w:hanging="0"/>
        <w:rPr/>
      </w:pPr>
      <w:r>
        <w:rPr/>
        <w:t>IV. Przykładowe zapisy do ogłoszeń konkursowych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 xml:space="preserve">Przy konstruowaniu zapisów ogłoszeń konkursowych każdorazowo biuro Urzędu m.st. Warszawy/dzielnica m.st. Warszawy, przeprowadzająca konkurs, decyduje o szczegółowości i charakterze zapisów. Rekomenduje się każdorazowo analizę i weryfikację umieszczenia poszczególnych wymagań wynikających z art. 6 ustawy o zapewnianiu dostępności. </w:t>
      </w:r>
    </w:p>
    <w:p>
      <w:pPr>
        <w:pStyle w:val="Normal"/>
        <w:rPr/>
      </w:pPr>
      <w:r>
        <w:rPr/>
        <w:t>W ogłoszeniu konkursowym powinna znaleźć się informacja wskazująca, które elementy z art. 6 ustawy są obligatoryjne do zastosowania przy realizacji danego, konkretnego zadania publicznego.</w:t>
      </w:r>
    </w:p>
    <w:p>
      <w:pPr>
        <w:pStyle w:val="Normal"/>
        <w:rPr/>
      </w:pPr>
      <w:r>
        <w:rPr/>
        <w:t xml:space="preserve">W przypadku zadań niejednorodnych, złożonych lub o nierozpoznanym sposobie ich realizacji w momencie ogłaszania konkursu, biuro Urzędu m.st. Warszawa/dzielnica m.st. Warszawy może wskazać w ogłoszeniu, że to oferent powinien zaproponować / wskazać, w jaki sposób zapewni realizację wymagań z art. 6 ustawy. </w:t>
      </w:r>
    </w:p>
    <w:p>
      <w:pPr>
        <w:pStyle w:val="Normal"/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>Rolą komisji dialogu społecznego, opiniujących projekty ogłoszeń konkursowych jest analiza zakresu dostępności wymaganej przy realizacji konkretnego zadania publicznego. Podczas opiniowania projektu ogłoszenia konkursoweg</w:t>
      </w:r>
      <w:bookmarkStart w:id="0" w:name="_GoBack"/>
      <w:bookmarkEnd w:id="0"/>
      <w:r>
        <w:rPr>
          <w:rFonts w:cs="Calibri" w:cstheme="minorHAnsi"/>
        </w:rPr>
        <w:t xml:space="preserve">o organizacje pozarządowe mają możliwość realnego wpływu na wymogi dot. dostępności określane przez m.st. Warszawę. </w:t>
      </w:r>
    </w:p>
    <w:p>
      <w:pPr>
        <w:pStyle w:val="Normal"/>
        <w:spacing w:lineRule="auto" w:line="300" w:before="0" w:after="120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 xml:space="preserve">Biuro Urzędu m.st. Warszawy/dzielnica m.st. Warszawy, przeprowadzające konkurs decyduje, które konkretnie wymogi z ww. art. 6 ustawy są odpowiednie do charakteru zlecanego zadania i powinny znaleźć się w ogłoszeniu konkursowym. Należy uwzględnić wymagania z art. 6 ustawy, właściwe/adekwatne przy realizacji danego zadania. Jednocześnie możliwe jest ujęcie w zapisach ogłoszeń innych dodatkowych warunków zapewniania dostępności niż te wynikające z art. 6, jeśli są one odpowiednie dla zapewnienia dostępności realizacji zadania. </w:t>
      </w:r>
    </w:p>
    <w:p>
      <w:pPr>
        <w:pStyle w:val="Normal"/>
        <w:spacing w:lineRule="auto" w:line="300" w:before="0" w:after="120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pacing w:lineRule="auto" w:line="300" w:before="0" w:after="240"/>
        <w:rPr>
          <w:rFonts w:cs="Calibri" w:cstheme="minorHAnsi"/>
          <w:bCs/>
        </w:rPr>
      </w:pPr>
      <w:r>
        <w:rPr>
          <w:rFonts w:cs="Calibri" w:cstheme="minorHAnsi"/>
          <w:bCs/>
        </w:rPr>
        <w:t>Przykładowe zapisy do ogłoszeń konkursowych:</w:t>
      </w:r>
    </w:p>
    <w:p>
      <w:pPr>
        <w:pStyle w:val="ListParagraph"/>
        <w:numPr>
          <w:ilvl w:val="0"/>
          <w:numId w:val="5"/>
        </w:numPr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  <w:bCs/>
        </w:rPr>
        <w:t>Środki finansowe w ramach realizacji zadania publicznego mogą być przeznaczone na pokrycie wydatków związanych z zapewnianiem dostępności przy realizacji zleconych zadań publicznych.</w:t>
      </w:r>
    </w:p>
    <w:p>
      <w:pPr>
        <w:pStyle w:val="ListParagraph"/>
        <w:numPr>
          <w:ilvl w:val="0"/>
          <w:numId w:val="5"/>
        </w:numPr>
        <w:rPr>
          <w:i/>
          <w:i/>
        </w:rPr>
      </w:pPr>
      <w:r>
        <w:rPr/>
        <w:t xml:space="preserve">Zleceniobiorca planując zadanie publiczne powinien oszacować z należytą starannością całkowity koszt jego realizacji, uwzględniający także nakłady poniesione z tytułu zapewnienia dostępności. </w:t>
      </w:r>
      <w:r>
        <w:rPr>
          <w:i/>
        </w:rPr>
        <w:t xml:space="preserve">Wysokość tego kosztu zależy m.in. od charakteru działania – jego zasięgu, tematyki, liczby osób ze szczególnymi potrzebami, które z tego skorzystają i oczywiście przyjętych rozwiązań likwidujących bariery (np. instalacja trwałego podjazdu to koszt znacznie wyższy niż wypożyczenie przenośnej rampy).  </w:t>
      </w:r>
    </w:p>
    <w:p>
      <w:pPr>
        <w:pStyle w:val="ListParagraph"/>
        <w:numPr>
          <w:ilvl w:val="0"/>
          <w:numId w:val="5"/>
        </w:numPr>
        <w:rPr/>
      </w:pPr>
      <w:r>
        <w:rPr/>
        <w:t xml:space="preserve">Zaleca się uwzględnienie w kalkulacji kosztów przewidzianych na realizację zadania kosztów, które zostaną poniesione na zapewnianie dostępności realizowanego zadania.   </w:t>
      </w:r>
    </w:p>
    <w:p>
      <w:pPr>
        <w:pStyle w:val="ListParagraph"/>
        <w:numPr>
          <w:ilvl w:val="0"/>
          <w:numId w:val="5"/>
        </w:numPr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</w:rPr>
        <w:t xml:space="preserve">Zadania publiczne powinny być zaprojektowanie i realizowane przez oferentów w taki sposób, aby nie wykluczały z uczestnictwa w nich osób ze specjalnymi potrzebami. Zapewnianie dostępności przez Zleceniobiorcę oznacza obowiązek osiągnięcia stanu faktycznego, w którym osoba ze szczególnymi potrzebami jako odbiorca zadania publicznego, może w nim uczestniczyć na zasadzie równości z innymi osobami. W ramach realizacji zadań publicznych dopuszcza się umieszczanie w Kosztach realizacji działań w Kalkulacji przewidywanych kosztów realizacji zadania publicznego kosztów związanych z zapewnianiem dostępności. </w:t>
      </w:r>
    </w:p>
    <w:p>
      <w:pPr>
        <w:pStyle w:val="ListParagraph"/>
        <w:numPr>
          <w:ilvl w:val="0"/>
          <w:numId w:val="5"/>
        </w:numPr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</w:rPr>
        <w:t xml:space="preserve">W umowie o wsparcie/powierzenie realizacji zadania publicznego Zleceniodawca określi szczegółowe warunki służące zapewnieniu przez Zleceniobiorcę dostępności osobom ze szczególnymi potrzebami w zakresie realizacji zadań publicznych, z uwzględnieniem minimalnych wymagań, o których mowa w art. 6 ustawy z dnia 19 lipca 2019 r. o zapewnianiu dostępności osobom ze szczególnymi potrzebami, o ile jest to możliwe, z uwzględnieniem uniwersalnego projektowania. Dostępność definiowana jest jako dostępność architektoniczna, cyfrowa, informacyjno-komunikacyjna. – </w:t>
      </w:r>
      <w:r>
        <w:rPr>
          <w:rFonts w:cs="Calibri" w:cstheme="minorHAnsi"/>
          <w:i/>
        </w:rPr>
        <w:t>decydując się na ten zapis w ogłoszeniu konkursowym – biuro Urzędu m.st. Warszawy/ dzielnica m.st. Warszawy powinna skonsultować z komisją dialogu społecznego całość postanowienia wraz ze szczegółowymi warunkami dookreślonymi poniżej.</w:t>
      </w:r>
      <w:r>
        <w:rPr>
          <w:rFonts w:cs="Calibri" w:cstheme="minorHAnsi"/>
        </w:rPr>
        <w:t xml:space="preserve"> </w:t>
      </w:r>
    </w:p>
    <w:p>
      <w:pPr>
        <w:pStyle w:val="Normal"/>
        <w:spacing w:lineRule="auto" w:line="300" w:before="0" w:after="120"/>
        <w:rPr>
          <w:rFonts w:cs="Calibri" w:cstheme="minorHAnsi"/>
          <w:b/>
          <w:b/>
          <w:i/>
          <w:i/>
        </w:rPr>
      </w:pPr>
      <w:r>
        <w:rPr>
          <w:b/>
          <w:i/>
        </w:rPr>
        <w:t xml:space="preserve">Kolejne punkty należy dobrać do charakteru zlecanego zadania – powinny być uwzględnione te, które mają zastosowanie dla danego konkursu / zadania, tj. nie muszą być uwzględniane wszystkie w każdym konkursie/każdym zadaniu. </w:t>
      </w:r>
    </w:p>
    <w:p>
      <w:pPr>
        <w:pStyle w:val="ListParagraph"/>
        <w:numPr>
          <w:ilvl w:val="0"/>
          <w:numId w:val="5"/>
        </w:numPr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</w:rPr>
        <w:t>Przy wykonywaniu zadania publicznego Zleceniobiorca zobowiązany będzie, zgodnie z ustawą z dnia 19 lipca 2019 r. o zapewnianiu dostępności osobom ze szczególnymi potrzebami, do zapewnienia w zakresie minimalnym, w ramach realizowanego zadania publicznego:</w:t>
      </w:r>
    </w:p>
    <w:p>
      <w:pPr>
        <w:pStyle w:val="ListParagraph"/>
        <w:numPr>
          <w:ilvl w:val="0"/>
          <w:numId w:val="2"/>
        </w:numPr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</w:rPr>
        <w:t xml:space="preserve">w obszarze dostępności architektonicznej: </w:t>
      </w:r>
    </w:p>
    <w:p>
      <w:pPr>
        <w:pStyle w:val="ListParagraph"/>
        <w:numPr>
          <w:ilvl w:val="0"/>
          <w:numId w:val="10"/>
        </w:numPr>
        <w:spacing w:lineRule="auto" w:line="300" w:before="0" w:after="120"/>
        <w:contextualSpacing/>
        <w:rPr>
          <w:rFonts w:cs="Calibri" w:cstheme="minorHAnsi"/>
        </w:rPr>
      </w:pPr>
      <w:r>
        <w:rPr>
          <w:rFonts w:cs="Calibri" w:cstheme="minorHAnsi"/>
        </w:rPr>
        <w:t xml:space="preserve">wolnych od barier poziomych i pionowych przestrzeni komunikacyjnych budynków, w których realizowane jest zadanie publiczne, </w:t>
      </w:r>
    </w:p>
    <w:p>
      <w:pPr>
        <w:pStyle w:val="ListParagraph"/>
        <w:numPr>
          <w:ilvl w:val="0"/>
          <w:numId w:val="10"/>
        </w:numPr>
        <w:spacing w:lineRule="auto" w:line="300" w:before="0" w:after="120"/>
        <w:contextualSpacing/>
        <w:rPr>
          <w:rFonts w:cs="Calibri" w:cstheme="minorHAnsi"/>
        </w:rPr>
      </w:pPr>
      <w:r>
        <w:rPr>
          <w:rFonts w:cs="Calibri" w:cstheme="minorHAnsi"/>
        </w:rPr>
        <w:t>instalacji urządzeń lub zastosowania środków technicznych i rozwiązań architektonicznych w budynku, które umożliwiają dostęp do pomieszczeń, w których realizowane jest zadanie publiczne z wyłączeniem pomieszczeń technicznych,</w:t>
      </w:r>
    </w:p>
    <w:p>
      <w:pPr>
        <w:pStyle w:val="ListParagraph"/>
        <w:numPr>
          <w:ilvl w:val="0"/>
          <w:numId w:val="10"/>
        </w:numPr>
        <w:spacing w:lineRule="auto" w:line="300" w:before="0" w:after="120"/>
        <w:contextualSpacing/>
        <w:rPr>
          <w:rFonts w:cs="Calibri" w:cstheme="minorHAnsi"/>
        </w:rPr>
      </w:pPr>
      <w:r>
        <w:rPr>
          <w:rFonts w:cs="Calibri" w:cstheme="minorHAnsi"/>
        </w:rPr>
        <w:t xml:space="preserve">informacji o rozkładzie pomieszczeń w budynku w sposób wizualny i dotykowy lub głosowy,  </w:t>
      </w:r>
    </w:p>
    <w:p>
      <w:pPr>
        <w:pStyle w:val="ListParagraph"/>
        <w:numPr>
          <w:ilvl w:val="0"/>
          <w:numId w:val="10"/>
        </w:numPr>
        <w:spacing w:lineRule="auto" w:line="300" w:before="0" w:after="120"/>
        <w:contextualSpacing/>
        <w:rPr>
          <w:rFonts w:cs="Calibri" w:cstheme="minorHAnsi"/>
        </w:rPr>
      </w:pPr>
      <w:r>
        <w:rPr>
          <w:rFonts w:cs="Calibri" w:cstheme="minorHAnsi"/>
        </w:rPr>
        <w:t>wstępu do budynku, gdzie realizowane jest zadanie publiczne, osobie korzystającej z psa asystującego,</w:t>
      </w:r>
    </w:p>
    <w:p>
      <w:pPr>
        <w:pStyle w:val="ListParagraph"/>
        <w:numPr>
          <w:ilvl w:val="0"/>
          <w:numId w:val="10"/>
        </w:numPr>
        <w:spacing w:lineRule="auto" w:line="300" w:before="0" w:after="120"/>
        <w:contextualSpacing/>
        <w:rPr>
          <w:rFonts w:cs="Calibri" w:cstheme="minorHAnsi"/>
        </w:rPr>
      </w:pPr>
      <w:r>
        <w:rPr>
          <w:rFonts w:cs="Calibri" w:cstheme="minorHAnsi"/>
        </w:rPr>
        <w:t>osobom ze szczególnymi potrzebami możliwości ewakuacji lub uratowania w inny sposób z miejsca gdzie realizowane jest zadanie publiczne.</w:t>
      </w:r>
    </w:p>
    <w:p>
      <w:pPr>
        <w:pStyle w:val="ListParagraph"/>
        <w:numPr>
          <w:ilvl w:val="0"/>
          <w:numId w:val="2"/>
        </w:numPr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</w:rPr>
        <w:t>w obszarze dostępności cyfrowej:</w:t>
      </w:r>
    </w:p>
    <w:p>
      <w:pPr>
        <w:pStyle w:val="ListParagraph"/>
        <w:numPr>
          <w:ilvl w:val="0"/>
          <w:numId w:val="3"/>
        </w:numPr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</w:rPr>
        <w:t xml:space="preserve">strona internetowa lub aplikacja mobilna wykorzystywana do realizacji lub promocji zadania powinna być dostępna cyfrowa poprzez zapewnienie jej funkcjonalności, kompatybilności, postrzegalności i zrozumiałości poprzez spełnianie wymagań określonych w załączniku do ustawy o dostępności cyfrowej stron internetowych i aplikacji mobilnych. </w:t>
      </w:r>
    </w:p>
    <w:p>
      <w:pPr>
        <w:pStyle w:val="ListParagraph"/>
        <w:numPr>
          <w:ilvl w:val="0"/>
          <w:numId w:val="3"/>
        </w:numPr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</w:rPr>
        <w:t xml:space="preserve">Treści cyfrowe opracowywane w ramach zadania i publikowane jak np. dokumenty rekrutacyjne, publikacje, filmy muszą być dostępne cyfrowo. </w:t>
      </w:r>
    </w:p>
    <w:p>
      <w:pPr>
        <w:pStyle w:val="ListParagraph"/>
        <w:numPr>
          <w:ilvl w:val="0"/>
          <w:numId w:val="2"/>
        </w:numPr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</w:rPr>
        <w:t>w obszarze dostępności informacyjno-komunikacyjnej:</w:t>
      </w:r>
    </w:p>
    <w:p>
      <w:pPr>
        <w:pStyle w:val="ListParagraph"/>
        <w:numPr>
          <w:ilvl w:val="0"/>
          <w:numId w:val="11"/>
        </w:numPr>
        <w:spacing w:lineRule="auto" w:line="300" w:before="0" w:after="120"/>
        <w:ind w:left="1134" w:hanging="425"/>
        <w:contextualSpacing/>
        <w:rPr>
          <w:rFonts w:cs="Calibri" w:cstheme="minorHAnsi"/>
        </w:rPr>
      </w:pPr>
      <w:r>
        <w:rPr>
          <w:rFonts w:cs="Calibri" w:cstheme="minorHAnsi"/>
        </w:rPr>
        <w:t>obsługi, w ramach zadania publicznego, z wykorzystaniem środków wspierających komunikowanie się, o których mowa w ustawie o języku migowym i innych środkach komunikowania się, lub poprzez wykorzystanie zdalnego dostępu online do usługi tłumacza przez strony internetowe i aplikacje,</w:t>
      </w:r>
    </w:p>
    <w:p>
      <w:pPr>
        <w:pStyle w:val="ListParagraph"/>
        <w:numPr>
          <w:ilvl w:val="0"/>
          <w:numId w:val="11"/>
        </w:numPr>
        <w:spacing w:lineRule="auto" w:line="300" w:before="0" w:after="120"/>
        <w:ind w:left="1134" w:hanging="425"/>
        <w:contextualSpacing/>
        <w:rPr>
          <w:rFonts w:cs="Calibri" w:cstheme="minorHAnsi"/>
        </w:rPr>
      </w:pPr>
      <w:r>
        <w:rPr>
          <w:rFonts w:cs="Calibri" w:cstheme="minorHAnsi"/>
        </w:rPr>
        <w:t xml:space="preserve">instalacji urządzeń lub innych środków technicznych do obsługi osób słabosłyszących w ramach zadania publicznego, np. pętla indukcyjna, system FM lub urządzeń opartych o inne technologie, których celem jest wspomaganie słyszenia; </w:t>
      </w:r>
    </w:p>
    <w:p>
      <w:pPr>
        <w:pStyle w:val="ListParagraph"/>
        <w:numPr>
          <w:ilvl w:val="0"/>
          <w:numId w:val="11"/>
        </w:numPr>
        <w:spacing w:lineRule="auto" w:line="300" w:before="0" w:after="120"/>
        <w:ind w:left="1134" w:hanging="425"/>
        <w:contextualSpacing/>
        <w:rPr>
          <w:rFonts w:cs="Calibri" w:cstheme="minorHAnsi"/>
        </w:rPr>
      </w:pPr>
      <w:r>
        <w:rPr>
          <w:rFonts w:cs="Calibri" w:cstheme="minorHAnsi"/>
        </w:rPr>
        <w:t>na stronie internetowej podmiotu informacji o realizowanym zadaniu publicznym w postaci elektronicznego pliku zawierającego tekst odczytywalny maszynowo, nagrania treści w polskim języku migowym, informacji w tekście łatwym do czytania i zrozumienia,</w:t>
      </w:r>
    </w:p>
    <w:p>
      <w:pPr>
        <w:pStyle w:val="ListParagraph"/>
        <w:numPr>
          <w:ilvl w:val="0"/>
          <w:numId w:val="11"/>
        </w:numPr>
        <w:spacing w:lineRule="auto" w:line="300" w:before="0" w:after="120"/>
        <w:ind w:left="1134" w:hanging="425"/>
        <w:contextualSpacing/>
        <w:rPr>
          <w:rFonts w:cs="Calibri" w:cstheme="minorHAnsi"/>
        </w:rPr>
      </w:pPr>
      <w:r>
        <w:rPr>
          <w:rFonts w:cs="Calibri" w:cstheme="minorHAnsi"/>
        </w:rPr>
        <w:t>na wniosek osoby ze szczególnymi potrzebami, w ramach realizowanego zadania publicznego, komunikacji w sposób preferowany przez osobę ze szczególnymi potrzebami.</w:t>
      </w:r>
    </w:p>
    <w:p>
      <w:pPr>
        <w:pStyle w:val="ListParagraph"/>
        <w:numPr>
          <w:ilvl w:val="0"/>
          <w:numId w:val="2"/>
        </w:numPr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</w:rPr>
        <w:t xml:space="preserve">Zgodnie z art. 7 ust 1 ustawy o zapewnianiu dostępności, w indywidualnym przypadku, jeżeli oferent nie jest w stanie, w szczególności ze względów technicznych lub prawnych, zapewnić dostępności osobie ze szczególnymi potrzebami w zakresie, o którym mowa w art. 6 pkt 1 i 3 (minimalne wymagania w zakresie dostępności architektonicznej i informacyjno-komunikacyjnej), Oferent ten jest obowiązany zapewnić takiej osobie dostęp alternatywny. Według art. 7 ust. 2 ustawy dostęp alternatywny polega w szczególności na: </w:t>
      </w:r>
    </w:p>
    <w:p>
      <w:pPr>
        <w:pStyle w:val="ListParagraph"/>
        <w:numPr>
          <w:ilvl w:val="1"/>
          <w:numId w:val="2"/>
        </w:numPr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</w:rPr>
        <w:t xml:space="preserve">zapewnieniu osobie ze szczególnymi potrzebami wsparcia innej osoby lub </w:t>
      </w:r>
    </w:p>
    <w:p>
      <w:pPr>
        <w:pStyle w:val="ListParagraph"/>
        <w:numPr>
          <w:ilvl w:val="1"/>
          <w:numId w:val="2"/>
        </w:numPr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</w:rPr>
        <w:t xml:space="preserve">zapewnieniu wsparcia technicznego osobie ze szczególnymi potrzebami, w tym z wykorzystaniem nowoczesnych technologii lub </w:t>
      </w:r>
    </w:p>
    <w:p>
      <w:pPr>
        <w:pStyle w:val="ListParagraph"/>
        <w:numPr>
          <w:ilvl w:val="1"/>
          <w:numId w:val="2"/>
        </w:numPr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</w:rPr>
        <w:t>wprowadzeniu takiej organizacji podmiotu publicznego, która umożliwi realizację potrzeb osób ze szczególnymi potrzebami, w niezbędnym zakresie dla tych osób.</w:t>
      </w:r>
    </w:p>
    <w:p>
      <w:pPr>
        <w:pStyle w:val="ListParagraph"/>
        <w:numPr>
          <w:ilvl w:val="0"/>
          <w:numId w:val="2"/>
        </w:numPr>
        <w:spacing w:lineRule="auto" w:line="300" w:before="0" w:after="120"/>
        <w:rPr>
          <w:rFonts w:cs="Calibri" w:cstheme="minorHAnsi"/>
          <w:color w:val="000000"/>
          <w:highlight w:val="white"/>
        </w:rPr>
      </w:pPr>
      <w:r>
        <w:rPr>
          <w:rFonts w:cs="Calibri" w:cstheme="minorHAnsi"/>
        </w:rPr>
        <w:t>Informacje</w:t>
      </w:r>
      <w:r>
        <w:rPr>
          <w:rFonts w:cs="Calibri" w:cstheme="minorHAnsi"/>
          <w:color w:val="000000"/>
          <w:shd w:fill="FFFFFF" w:val="clear"/>
        </w:rPr>
        <w:t xml:space="preserve"> o projektowanym poziomie zapewnienia dostępności osobom ze szczególnymi potrzebami w ramach zadania w obszarze architektonicznym, cyfrowym, komunikacyjno-informacyjnym lub przewidywanych formach dostępu alternatywnego oferent powinien zawrzeć w sekcji VI oferty – inne działania mogące mieć znaczenie przy ocenie oferty. Ewentualne bariery w poszczególnych obszarach dostępności i przeszkody w ich usunięciu powinny zostać szczegółowo opisane i uzasadnione wraz z określoną szczegółowo ścieżką postępowania w przypadku dostępu alternatywnego.  </w:t>
      </w:r>
    </w:p>
    <w:p>
      <w:pPr>
        <w:pStyle w:val="ListParagraph"/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  <w:b/>
        </w:rPr>
        <w:t>W sytuacji występowania barier architektonicznych i braku możliwości ich usunięcia w lokalu zaplanowanym do realizacji zadania Zleceniobiorca zobowiązany jest szczegółowo uzasadnić sytuację w ofercie.</w:t>
      </w:r>
      <w:r>
        <w:rPr>
          <w:rFonts w:cs="Calibri" w:cstheme="minorHAnsi"/>
        </w:rPr>
        <w:t xml:space="preserve"> Ponadto Zleceniobiorca powinien opisać zaplanowane rozwiązania zapewniające dostęp alternatywny do usług / produktów, które będą świadczone w ramach zadania.  Przez dostęp alternatywny można rozumieć w szczególności zmianę organizacji realizacji zadania, wsparcie innej osoby, wykorzystanie rozwiązań technologicznych. </w:t>
      </w:r>
    </w:p>
    <w:p>
      <w:pPr>
        <w:pStyle w:val="ListParagraph"/>
        <w:numPr>
          <w:ilvl w:val="0"/>
          <w:numId w:val="2"/>
        </w:numPr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</w:rPr>
        <w:t>M.st. Warszawa opracowało standardy dostępności architektonicznej i cyfrowej oraz wytyczne informacyjno-komunikacyjne. Minimalny poziom dostępności wymagany od Zleceniobiorcy to minimalne wymagania dostępności określone w art. 6 ustawy. Stosowanie dodatkowych rozwiązań podnoszących dostępność – poza wymagania ustawowe – również należy opisać w ofercie w sekcji VI, wskazując rozróżnienie.</w:t>
      </w:r>
    </w:p>
    <w:p>
      <w:pPr>
        <w:pStyle w:val="ListParagraph"/>
        <w:numPr>
          <w:ilvl w:val="0"/>
          <w:numId w:val="2"/>
        </w:numPr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</w:rPr>
        <w:t xml:space="preserve">Szczegółowe warunki zapewniania dostępności dotyczące poszczególnych rodzajów dostępności zawiera załącznik nr 1 do wytycznych, który po odpowiednim dostosowaniu do zakresu przedmiotowego zadania może stanowić załącznik do ogłoszenia konkursowego. </w:t>
      </w:r>
    </w:p>
    <w:p>
      <w:pPr>
        <w:pStyle w:val="Normal"/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  <w:b/>
        </w:rPr>
        <w:t xml:space="preserve">W przypadku gdy w ogłoszeniu konkursowym nie zostaną wskazane konkretne wymagania dot. dostępności w realizowanych zadaniach – biuro Urzędu m.st. Warszawy/ dzielnica m.st. Warszawy może wskazać, że to sam oferent powinien określić wymagania z art. 6 ustawy, które uwzględni przy realizacji zadania publicznego. </w:t>
      </w:r>
      <w:r>
        <w:rPr>
          <w:rFonts w:cs="Calibri" w:cstheme="minorHAnsi"/>
        </w:rPr>
        <w:t xml:space="preserve"> W przypadku niewskazania przez oferentów w ofercie realizacji zadania publicznego sposobu spełnienia wymogów dotyczących dostępności  lub wskazania w sposób niewystarczający  biuro Urzędu m.st. Warszawy/ dzielnica m.st. Warszawy powinno zobligować oferenta do aktualizacji oferty w tym zakresie przed podpisaniem umowy.</w:t>
      </w:r>
    </w:p>
    <w:p>
      <w:pPr>
        <w:pStyle w:val="Normal"/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 xml:space="preserve">Istnieje możliwość wprowadzenia w ogłoszeniach konkursowych podkryterium w Karcie Oceny Oferty dotyczącego zapewnienia dostępności w ramach oceny proponowanej jakości wykonania zadania i kwalifikacji osób, przy udziale których organizacja pozarządowa będzie realizować zadanie publiczne. Spełnienie wymogów dot. dostępności zgodnie z treścią ogłoszenia konkursowego podlega ocenie komisji konkursowej ds. opiniowania ofert. </w:t>
      </w:r>
    </w:p>
    <w:p>
      <w:pPr>
        <w:pStyle w:val="Normal"/>
        <w:spacing w:lineRule="auto" w:line="300" w:before="240" w:after="240"/>
        <w:rPr>
          <w:rFonts w:cs="Calibri" w:cstheme="minorHAnsi"/>
        </w:rPr>
      </w:pPr>
      <w:r>
        <w:rPr>
          <w:rFonts w:cs="Calibri" w:cstheme="minorHAnsi"/>
        </w:rPr>
        <w:t>Przy realizacji zadań jedynie ze środków bieżących warto wprowadzić zapisy:</w:t>
      </w:r>
    </w:p>
    <w:p>
      <w:pPr>
        <w:pStyle w:val="ListParagraph"/>
        <w:numPr>
          <w:ilvl w:val="0"/>
          <w:numId w:val="6"/>
        </w:numPr>
        <w:spacing w:lineRule="auto" w:line="300" w:before="0" w:after="120"/>
        <w:ind w:left="357" w:hanging="357"/>
        <w:rPr>
          <w:rFonts w:cs="Calibri" w:cstheme="minorHAnsi"/>
        </w:rPr>
      </w:pPr>
      <w:r>
        <w:rPr>
          <w:rFonts w:cs="Calibri" w:cstheme="minorHAnsi"/>
        </w:rPr>
        <w:t xml:space="preserve">Zleceniobiorca nie może dokonywać zakupu środków trwałych. W świetle zapisów zawartych w art. 3 ust. 1 pkt 15 ustawy o rachunkowości środki trwałe to rzeczowe aktywa trwałe i zrównane z nimi, o przewidywanym okresie ekonomicznej użyteczności dłuższym niż rok, kompletne, zdatne do użytku i przeznaczone na potrzeby jednostki. Limit kwoty, od której liczy się środki trwałe to 10 000,00 złotych (o ile organizacja, w dokumentach wewnętrznych, nie ustawiła limitu niżej). </w:t>
      </w:r>
    </w:p>
    <w:p>
      <w:pPr>
        <w:pStyle w:val="ListParagraph"/>
        <w:numPr>
          <w:ilvl w:val="0"/>
          <w:numId w:val="6"/>
        </w:numPr>
        <w:spacing w:lineRule="auto" w:line="300" w:before="0" w:after="120"/>
        <w:ind w:left="357" w:hanging="357"/>
        <w:rPr>
          <w:rFonts w:cs="Calibri" w:cstheme="minorHAnsi"/>
        </w:rPr>
      </w:pPr>
      <w:r>
        <w:rPr>
          <w:rFonts w:cs="Calibri" w:cstheme="minorHAnsi"/>
        </w:rPr>
        <w:t xml:space="preserve">W ramach środków bieżących dopuszcza się przeprowadzenie remontu lokalu w ramach Kosztów realizacji działań. Zgodnie z art. 3 pkt 8 ustawy z dnia 7 lipca 1994 r. Prawo Budowlane remont to wykonywanie w istniejącym obiekcie budowlanym robót budowlanych polegających na odtworzeniu stanu pierwotnego, a niestanowiących bieżącej konserwacji, przy czym dopuszcza się stosowanie wyrobów budowlanych innych niż użyto w stanie pierwotnym. Wobec powyższego istotą remontu jest przywrócenie (odtworzenie) pierwotnego stanu technicznego środka trwałego z dnia oddania do użytkowania, niezmieniającego jego charakteru i funkcji, następujące w trakcie eksploatacji środka trwałego i wynikające z tej eksploatacji. Niedopuszczalne są działania mające na celu modernizację (np.: wymiana przedmiotu dobrze działającego na inny posiadający lepsze parametry), która zwiększy wartość środka trwałego (budynku, lokalu). Środki mogą być wykorzystywane na koszty remontu i dostosowania do przepisów BHP, PPOŻ, celem zapewniania dostępności dla osób ze szczególnymi potrzebami. </w:t>
      </w:r>
    </w:p>
    <w:p>
      <w:pPr>
        <w:pStyle w:val="Normal"/>
        <w:spacing w:lineRule="auto" w:line="300" w:before="0" w:after="120"/>
        <w:rPr>
          <w:rFonts w:cs="Calibri" w:cstheme="minorHAnsi"/>
        </w:rPr>
      </w:pPr>
      <w:r>
        <w:rPr>
          <w:rFonts w:cs="Calibri" w:cstheme="minorHAnsi"/>
        </w:rPr>
        <w:t xml:space="preserve">Przy dopuszczeniu możliwości realizacji zadań ze środków inwestycyjnych należy wprowadzić postanowienia dotyczące sposobu realizacji inwestycji. </w:t>
      </w:r>
    </w:p>
    <w:p>
      <w:pPr>
        <w:pStyle w:val="Heading2"/>
        <w:numPr>
          <w:ilvl w:val="0"/>
          <w:numId w:val="0"/>
        </w:numPr>
        <w:ind w:left="0" w:hanging="0"/>
        <w:rPr/>
      </w:pPr>
      <w:r>
        <w:rPr/>
        <w:t>V. Przykładowe zapisy w umowach realizacji zadań publicznych:</w:t>
      </w:r>
    </w:p>
    <w:p>
      <w:pPr>
        <w:pStyle w:val="Normal"/>
        <w:spacing w:lineRule="auto" w:line="300" w:before="0" w:after="240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(każdorazowo niezbędne jest przeanalizowane i doprecyzowanie zapisów w odniesieniu do przedmiotu i zakresu zlecanego zadania publicznego)</w:t>
      </w:r>
    </w:p>
    <w:p>
      <w:pPr>
        <w:pStyle w:val="Normal"/>
        <w:rPr/>
      </w:pPr>
      <w:r>
        <w:rPr/>
        <w:t>Istotne jest, aby umowa na realizację zadania określała (lub wprowadzała odwołanie do załącznika, który to określa):</w:t>
      </w:r>
    </w:p>
    <w:p>
      <w:pPr>
        <w:pStyle w:val="Normal"/>
        <w:numPr>
          <w:ilvl w:val="0"/>
          <w:numId w:val="20"/>
        </w:numPr>
        <w:rPr/>
      </w:pPr>
      <w:r>
        <w:rPr/>
        <w:t xml:space="preserve"> </w:t>
      </w:r>
      <w:r>
        <w:rPr/>
        <w:t>konkretne zapisy, w jaki sposób zadanie będzie realizowane, z zastosowaniem, których wymagań z art. 6 lub</w:t>
      </w:r>
    </w:p>
    <w:p>
      <w:pPr>
        <w:pStyle w:val="Normal"/>
        <w:numPr>
          <w:ilvl w:val="0"/>
          <w:numId w:val="20"/>
        </w:numPr>
        <w:rPr/>
      </w:pPr>
      <w:r>
        <w:rPr/>
        <w:t xml:space="preserve"> </w:t>
      </w:r>
      <w:r>
        <w:rPr/>
        <w:t xml:space="preserve">obowiązek realizacji zadania w sposób dostępny, określony szczegółowo w ofercie złożonej na realizację zadania.   </w:t>
      </w:r>
    </w:p>
    <w:p>
      <w:pPr>
        <w:pStyle w:val="Normal"/>
        <w:spacing w:lineRule="auto" w:line="300" w:before="0" w:after="240"/>
        <w:rPr>
          <w:rFonts w:cs="Calibri" w:cstheme="minorHAnsi"/>
          <w:b/>
          <w:b/>
        </w:rPr>
      </w:pPr>
      <w:r>
        <w:rPr>
          <w:rFonts w:cs="Calibri" w:cstheme="minorHAnsi"/>
          <w:b/>
        </w:rPr>
      </w:r>
    </w:p>
    <w:p>
      <w:pPr>
        <w:pStyle w:val="Normal"/>
        <w:spacing w:lineRule="auto" w:line="300" w:before="0" w:after="240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Przykład 1.</w:t>
      </w:r>
    </w:p>
    <w:p>
      <w:pPr>
        <w:pStyle w:val="ListParagraph"/>
        <w:numPr>
          <w:ilvl w:val="0"/>
          <w:numId w:val="7"/>
        </w:numPr>
        <w:spacing w:lineRule="auto" w:line="300" w:before="0" w:after="120"/>
        <w:ind w:left="357" w:hanging="357"/>
        <w:rPr>
          <w:rFonts w:cs="Calibri" w:cstheme="minorHAnsi"/>
        </w:rPr>
      </w:pPr>
      <w:r>
        <w:rPr>
          <w:rFonts w:cs="Calibri" w:cstheme="minorHAnsi"/>
        </w:rPr>
        <w:t xml:space="preserve">Przy wykonywaniu zadania publicznego Zleceniobiorca zobowiązany jest, zgodnie z ustawą z dnia 19 lipca 2019 r. o zapewnianiu dostępności osobom ze szczególnymi potrzebami, do zapewnienia odbiorcom zadania publicznego co najmniej w zakresie minimalnym szczegółowo określonym w sekcji VI oferty, stanowiącej załącznik nr … do Umowy. </w:t>
      </w:r>
    </w:p>
    <w:p>
      <w:pPr>
        <w:pStyle w:val="ListParagraph"/>
        <w:numPr>
          <w:ilvl w:val="0"/>
          <w:numId w:val="7"/>
        </w:numPr>
        <w:spacing w:lineRule="auto" w:line="300" w:before="0" w:after="120"/>
        <w:ind w:left="357" w:hanging="357"/>
        <w:rPr>
          <w:rFonts w:cs="Calibri" w:cstheme="minorHAnsi"/>
        </w:rPr>
      </w:pPr>
      <w:r>
        <w:rPr>
          <w:rFonts w:cs="Calibri" w:cstheme="minorHAnsi"/>
        </w:rPr>
        <w:t xml:space="preserve">Umowa może być rozwiązana przez Zleceniodawcę w drodze jednostronnego oświadczenia ze skutkiem natychmiastowym w przypadku niewywiązywania się Zleceniobiorcy z obowiązku zapewniania dostępności, o którym mowa w ust. …. Umowy (stanowi to kolejną przesłankę rozwiązania umowy dotacyjnej). </w:t>
      </w:r>
    </w:p>
    <w:p>
      <w:pPr>
        <w:pStyle w:val="ListParagraph"/>
        <w:spacing w:lineRule="auto" w:line="300" w:before="0" w:after="120"/>
        <w:ind w:left="357" w:hanging="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300" w:before="0" w:after="240"/>
        <w:rPr>
          <w:rFonts w:cs="Calibri" w:cstheme="minorHAnsi"/>
          <w:b/>
          <w:b/>
          <w:bCs/>
        </w:rPr>
      </w:pPr>
      <w:r>
        <w:rPr>
          <w:rFonts w:cs="Calibri" w:cstheme="minorHAnsi"/>
          <w:b/>
          <w:bCs/>
        </w:rPr>
        <w:t xml:space="preserve">Przykład 2 </w:t>
      </w:r>
    </w:p>
    <w:p>
      <w:pPr>
        <w:pStyle w:val="Normal"/>
        <w:rPr/>
      </w:pPr>
      <w:r>
        <w:rPr>
          <w:rFonts w:cs="Calibri" w:cstheme="minorHAnsi"/>
          <w:b/>
        </w:rPr>
        <w:t>Należy wpisać elementy z art. 6 ustawy właściwe/adekwatne przy realizacji danego zadania</w:t>
      </w:r>
    </w:p>
    <w:p>
      <w:pPr>
        <w:pStyle w:val="ListParagraph"/>
        <w:numPr>
          <w:ilvl w:val="0"/>
          <w:numId w:val="8"/>
        </w:numPr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>Przy wykonywaniu zadania publicznego Zleceniobiorca zobowiązany jest, zgodnie z ustawą z dnia 19 lipca 2019 r. o zapewnianiu dostępności osobom ze szczególnymi potrzebami, do zapewnienia odbiorcom zadania publicznego co najmniej w zakresie minimalnym:</w:t>
      </w:r>
    </w:p>
    <w:p>
      <w:pPr>
        <w:pStyle w:val="ListParagraph"/>
        <w:numPr>
          <w:ilvl w:val="0"/>
          <w:numId w:val="4"/>
        </w:numPr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 xml:space="preserve">w obszarze dostępności architektonicznej: </w:t>
      </w:r>
    </w:p>
    <w:p>
      <w:pPr>
        <w:pStyle w:val="ListParagraph"/>
        <w:numPr>
          <w:ilvl w:val="0"/>
          <w:numId w:val="12"/>
        </w:numPr>
        <w:spacing w:lineRule="auto" w:line="300" w:before="0" w:after="240"/>
        <w:ind w:left="851" w:hanging="284"/>
        <w:contextualSpacing/>
        <w:rPr>
          <w:rFonts w:cs="Calibri" w:cstheme="minorHAnsi"/>
        </w:rPr>
      </w:pPr>
      <w:r>
        <w:rPr>
          <w:rFonts w:cs="Calibri" w:cstheme="minorHAnsi"/>
        </w:rPr>
        <w:t>wolnych od barier poziomych i pionowych przestrzeni komunikacyjnych budynków, w których realizowane będzie zadanie publiczne;</w:t>
      </w:r>
    </w:p>
    <w:p>
      <w:pPr>
        <w:pStyle w:val="ListParagraph"/>
        <w:numPr>
          <w:ilvl w:val="0"/>
          <w:numId w:val="12"/>
        </w:numPr>
        <w:spacing w:lineRule="auto" w:line="300" w:before="0" w:after="240"/>
        <w:ind w:left="851" w:hanging="284"/>
        <w:contextualSpacing/>
        <w:rPr>
          <w:rFonts w:cs="Calibri" w:cstheme="minorHAnsi"/>
        </w:rPr>
      </w:pPr>
      <w:r>
        <w:rPr>
          <w:rFonts w:cs="Calibri" w:cstheme="minorHAnsi"/>
        </w:rPr>
        <w:t>instalacji urządzeń lub zastosowania środków technicznych i rozwiązań architektonicznych w budynku, które umożliwiają dostęp do wszystkich pomieszczeń, w których realizowane jest zadanie publiczne, z wyłączeniem pomieszczeń technicznych,</w:t>
      </w:r>
    </w:p>
    <w:p>
      <w:pPr>
        <w:pStyle w:val="ListParagraph"/>
        <w:numPr>
          <w:ilvl w:val="0"/>
          <w:numId w:val="12"/>
        </w:numPr>
        <w:spacing w:lineRule="auto" w:line="300" w:before="0" w:after="240"/>
        <w:ind w:left="851" w:hanging="284"/>
        <w:contextualSpacing/>
        <w:rPr>
          <w:rFonts w:cs="Calibri" w:cstheme="minorHAnsi"/>
        </w:rPr>
      </w:pPr>
      <w:r>
        <w:rPr>
          <w:rFonts w:cs="Calibri" w:cstheme="minorHAnsi"/>
        </w:rPr>
        <w:t>informacji o rozkładzie pomieszczeń w budynku w sposób wizualny, dotykowy lub głosowy,</w:t>
      </w:r>
    </w:p>
    <w:p>
      <w:pPr>
        <w:pStyle w:val="ListParagraph"/>
        <w:numPr>
          <w:ilvl w:val="0"/>
          <w:numId w:val="12"/>
        </w:numPr>
        <w:spacing w:lineRule="auto" w:line="300" w:before="0" w:after="240"/>
        <w:ind w:left="851" w:hanging="284"/>
        <w:contextualSpacing/>
        <w:rPr>
          <w:rFonts w:cs="Calibri" w:cstheme="minorHAnsi"/>
        </w:rPr>
      </w:pPr>
      <w:r>
        <w:rPr>
          <w:rFonts w:cs="Calibri" w:cstheme="minorHAnsi"/>
        </w:rPr>
        <w:t>wstępu do budynku, w którym realizowane jest zadanie publiczne, osobie korzystającej z psa asystującego,</w:t>
      </w:r>
    </w:p>
    <w:p>
      <w:pPr>
        <w:pStyle w:val="ListParagraph"/>
        <w:numPr>
          <w:ilvl w:val="0"/>
          <w:numId w:val="12"/>
        </w:numPr>
        <w:spacing w:lineRule="auto" w:line="300" w:before="0" w:after="240"/>
        <w:ind w:left="851" w:hanging="284"/>
        <w:contextualSpacing/>
        <w:rPr>
          <w:rFonts w:cs="Calibri" w:cstheme="minorHAnsi"/>
        </w:rPr>
      </w:pPr>
      <w:r>
        <w:rPr>
          <w:rFonts w:cs="Calibri" w:cstheme="minorHAnsi"/>
        </w:rPr>
        <w:t>osobom ze szczególnymi potrzebami możliwości ewakuacji lub uratowania w inny sposób, z budynku w którym realizowane jest zadanie publiczne.</w:t>
      </w:r>
    </w:p>
    <w:p>
      <w:pPr>
        <w:pStyle w:val="ListParagraph"/>
        <w:numPr>
          <w:ilvl w:val="0"/>
          <w:numId w:val="4"/>
        </w:numPr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>w obszarze dostępności cyfrowej:</w:t>
      </w:r>
    </w:p>
    <w:p>
      <w:pPr>
        <w:pStyle w:val="ListParagraph"/>
        <w:numPr>
          <w:ilvl w:val="0"/>
          <w:numId w:val="13"/>
        </w:numPr>
        <w:spacing w:lineRule="auto" w:line="300" w:before="0" w:after="240"/>
        <w:ind w:left="851" w:hanging="284"/>
        <w:contextualSpacing/>
        <w:rPr>
          <w:rFonts w:cs="Calibri" w:cstheme="minorHAnsi"/>
        </w:rPr>
      </w:pPr>
      <w:r>
        <w:rPr>
          <w:rFonts w:cs="Calibri" w:cstheme="minorHAnsi"/>
        </w:rPr>
        <w:t>funkcjonalności, kompatybilności, postrzegalności, zrozumiałości strony internetowej i aplikacji mobilnej poprzez spełnienie wymagań określonych w załączniku ustawy o dostępności cyfrowej stron internetowych i aplikacji mobilnych podmiotów publicznych w odniesieniu do strony internetowej lub aplikacji mobilnej jak również materiałów cyfrowych wytwarzanych i wykorzystywanych do realizacji zadania lub jego promocji;</w:t>
      </w:r>
    </w:p>
    <w:p>
      <w:pPr>
        <w:pStyle w:val="ListParagraph"/>
        <w:numPr>
          <w:ilvl w:val="0"/>
          <w:numId w:val="4"/>
        </w:numPr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>w obszarze dostępności informacyjno-komunikacyjnej:</w:t>
      </w:r>
    </w:p>
    <w:p>
      <w:pPr>
        <w:pStyle w:val="ListParagraph"/>
        <w:numPr>
          <w:ilvl w:val="0"/>
          <w:numId w:val="14"/>
        </w:numPr>
        <w:spacing w:lineRule="auto" w:line="300" w:before="0" w:after="240"/>
        <w:ind w:left="851" w:hanging="284"/>
        <w:contextualSpacing/>
        <w:rPr>
          <w:rFonts w:cs="Calibri" w:cstheme="minorHAnsi"/>
        </w:rPr>
      </w:pPr>
      <w:r>
        <w:rPr>
          <w:rFonts w:cs="Calibri" w:cstheme="minorHAnsi"/>
        </w:rPr>
        <w:t>obsługi, w ramach zadania publicznego, z wykorzystaniem środków wspierających komunikowanie się, o których mowa w ustawie o języku migowym i innych środkach komunikowania się, lub poprzez wykorzystanie zdalnego dostępu online do usługi tłumacza przez strony internetowe i aplikacje,</w:t>
      </w:r>
    </w:p>
    <w:p>
      <w:pPr>
        <w:pStyle w:val="ListParagraph"/>
        <w:numPr>
          <w:ilvl w:val="0"/>
          <w:numId w:val="14"/>
        </w:numPr>
        <w:spacing w:lineRule="auto" w:line="300" w:before="0" w:after="240"/>
        <w:ind w:left="851" w:hanging="284"/>
        <w:contextualSpacing/>
        <w:rPr>
          <w:rFonts w:cs="Calibri" w:cstheme="minorHAnsi"/>
        </w:rPr>
      </w:pPr>
      <w:r>
        <w:rPr>
          <w:rFonts w:cs="Calibri" w:cstheme="minorHAnsi"/>
        </w:rPr>
        <w:t xml:space="preserve">instalacji urządzeń lub innych środków technicznych do obsługi osób słabosłyszących w ramach zadania publicznego, np. pętla indukcyjna, system FM lub urządzeń opartych o inne technologie, których celem jest wspomaganie słyszenia; </w:t>
      </w:r>
    </w:p>
    <w:p>
      <w:pPr>
        <w:pStyle w:val="ListParagraph"/>
        <w:numPr>
          <w:ilvl w:val="0"/>
          <w:numId w:val="14"/>
        </w:numPr>
        <w:spacing w:lineRule="auto" w:line="300" w:before="0" w:after="240"/>
        <w:ind w:left="851" w:hanging="284"/>
        <w:contextualSpacing/>
        <w:rPr>
          <w:rFonts w:cs="Calibri" w:cstheme="minorHAnsi"/>
        </w:rPr>
      </w:pPr>
      <w:r>
        <w:rPr>
          <w:rFonts w:cs="Calibri" w:cstheme="minorHAnsi"/>
        </w:rPr>
        <w:t>na stronie internetowej podmiotu informacji o zakresie działalności w postaci pliku zawierającego tekst odczytywalny maszynowo, nagrania treści w polskim języku migowym, informacja w tekście łatwym do czytania i zrozumienia,</w:t>
      </w:r>
    </w:p>
    <w:p>
      <w:pPr>
        <w:pStyle w:val="ListParagraph"/>
        <w:numPr>
          <w:ilvl w:val="0"/>
          <w:numId w:val="14"/>
        </w:numPr>
        <w:spacing w:lineRule="auto" w:line="300" w:before="0" w:after="240"/>
        <w:ind w:left="851" w:hanging="284"/>
        <w:contextualSpacing/>
        <w:rPr>
          <w:rFonts w:cs="Calibri" w:cstheme="minorHAnsi"/>
        </w:rPr>
      </w:pPr>
      <w:r>
        <w:rPr>
          <w:rFonts w:cs="Calibri" w:cstheme="minorHAnsi"/>
        </w:rPr>
        <w:t>na wniosek osoby ze szczególnymi potrzebami, komunikacji w sposób preferowany przez osobę ze szczególnymi potrzebami.</w:t>
      </w:r>
    </w:p>
    <w:p>
      <w:pPr>
        <w:pStyle w:val="Normal"/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>[alternatywnie w wypadku dostępności architektonicznej, gdy Zleceniobiorca przedstawił w ofercie opis barier architektonicznych, uzasadnił niemożliwość ich likwidacji i opisał dostęp alternatywny, po akceptacji komisji konkursowej, zapis może brzmieć:</w:t>
      </w:r>
    </w:p>
    <w:p>
      <w:pPr>
        <w:pStyle w:val="Normal"/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>W zakresie dostępności architektonicznej obsługa odbiorców zadania publicznego będzie realizowana poprzez dostęp alternatywny szczegółowo określony w sekcji VI oferty stanowiącej załącznik do Umowy.]</w:t>
      </w:r>
    </w:p>
    <w:p>
      <w:pPr>
        <w:pStyle w:val="ListParagraph"/>
        <w:numPr>
          <w:ilvl w:val="0"/>
          <w:numId w:val="8"/>
        </w:numPr>
        <w:spacing w:lineRule="auto" w:line="300" w:before="0" w:after="240"/>
        <w:rPr>
          <w:rFonts w:cs="Calibri" w:cstheme="minorHAnsi"/>
        </w:rPr>
      </w:pPr>
      <w:r>
        <w:rPr>
          <w:rFonts w:cs="Calibri" w:cstheme="minorHAnsi"/>
        </w:rPr>
        <w:t>Zgodnie z art. 7 ust 1 ustawy o zapewnianiu dostępności, jeżeli Zleceniobiorca nie jest w stanie, w szczególności ze względów technicznych lub prawnych, zapewnić dostępności osobie ze szczególnymi potrzebami w zakresie, o którym mowa w art. 6 pkt 1 i 3 (minimalne wymagania w zakresie dostępności architektonicznej i informacyjno-komunikacyjnej), Zleceniobiorca zobowiązany zapewnić takiej osobie dostęp alternatywny.</w:t>
      </w:r>
    </w:p>
    <w:p>
      <w:pPr>
        <w:pStyle w:val="Normal"/>
        <w:spacing w:lineRule="auto" w:line="300" w:before="0" w:after="240"/>
        <w:ind w:left="357" w:hanging="0"/>
        <w:rPr>
          <w:rFonts w:cs="Calibri" w:cstheme="minorHAnsi"/>
        </w:rPr>
      </w:pPr>
      <w:r>
        <w:rPr>
          <w:rFonts w:cs="Calibri" w:cstheme="minorHAnsi"/>
        </w:rPr>
        <w:t xml:space="preserve">Dostęp alternatywny polega w szczególności na: </w:t>
      </w:r>
    </w:p>
    <w:p>
      <w:pPr>
        <w:pStyle w:val="ListParagraph"/>
        <w:numPr>
          <w:ilvl w:val="0"/>
          <w:numId w:val="15"/>
        </w:numPr>
        <w:spacing w:lineRule="auto" w:line="300" w:before="0" w:after="120"/>
        <w:ind w:left="714" w:hanging="357"/>
        <w:rPr>
          <w:rFonts w:cs="Calibri" w:cstheme="minorHAnsi"/>
        </w:rPr>
      </w:pPr>
      <w:r>
        <w:rPr>
          <w:rFonts w:cs="Calibri" w:cstheme="minorHAnsi"/>
        </w:rPr>
        <w:t xml:space="preserve">zapewnieniu osobie ze szczególnymi potrzebami wsparcia innej osoby lub </w:t>
      </w:r>
    </w:p>
    <w:p>
      <w:pPr>
        <w:pStyle w:val="ListParagraph"/>
        <w:numPr>
          <w:ilvl w:val="0"/>
          <w:numId w:val="15"/>
        </w:numPr>
        <w:spacing w:lineRule="auto" w:line="300" w:before="0" w:after="120"/>
        <w:ind w:left="714" w:hanging="357"/>
        <w:rPr>
          <w:rFonts w:cs="Calibri" w:cstheme="minorHAnsi"/>
        </w:rPr>
      </w:pPr>
      <w:r>
        <w:rPr>
          <w:rFonts w:cs="Calibri" w:cstheme="minorHAnsi"/>
        </w:rPr>
        <w:t xml:space="preserve">zapewnieniu wsparcia technicznego osobie ze szczególnymi potrzebami, w tym z wykorzystaniem nowoczesnych technologii lub </w:t>
      </w:r>
    </w:p>
    <w:p>
      <w:pPr>
        <w:pStyle w:val="ListParagraph"/>
        <w:numPr>
          <w:ilvl w:val="0"/>
          <w:numId w:val="15"/>
        </w:numPr>
        <w:spacing w:lineRule="auto" w:line="300" w:before="0" w:after="120"/>
        <w:ind w:left="714" w:hanging="357"/>
        <w:rPr>
          <w:rFonts w:cs="Calibri" w:cstheme="minorHAnsi"/>
        </w:rPr>
      </w:pPr>
      <w:r>
        <w:rPr>
          <w:rFonts w:cs="Calibri" w:cstheme="minorHAnsi"/>
        </w:rPr>
        <w:t>wprowadzeniu takiej organizacji podmiotu publicznego, która umożliwi realizację potrzeb osób ze szczególnymi potrzebami, w niezbędnym zakresie dla tych osób.</w:t>
      </w:r>
    </w:p>
    <w:p>
      <w:pPr>
        <w:pStyle w:val="ListParagraph"/>
        <w:spacing w:lineRule="auto" w:line="300" w:before="240" w:after="240"/>
        <w:ind w:left="357" w:hanging="0"/>
        <w:rPr>
          <w:rFonts w:cs="Calibri" w:cstheme="minorHAnsi"/>
        </w:rPr>
      </w:pPr>
      <w:r>
        <w:rPr>
          <w:rFonts w:cs="Calibri" w:cstheme="minorHAnsi"/>
        </w:rPr>
        <w:t xml:space="preserve">Umowa może być rozwiązana przez Zleceniodawcę w drodze jednostronnego oświadczenia ze skutkiem natychmiastowym w przypadku niewywiązywania się Zleceniobiorcy z obowiązku zapewniania dostępności, o którym mowa w ust. …. Umowy ( stanowi kolejną przesłankę rozwiązania umowy dotacyjnej). </w:t>
      </w:r>
    </w:p>
    <w:p>
      <w:pPr>
        <w:pStyle w:val="ListParagraph"/>
        <w:spacing w:lineRule="auto" w:line="300" w:before="240" w:after="240"/>
        <w:ind w:left="357" w:hanging="0"/>
        <w:rPr>
          <w:rFonts w:cs="Calibri" w:cstheme="minorHAnsi"/>
        </w:rPr>
      </w:pPr>
      <w:r>
        <w:rPr>
          <w:rFonts w:cs="Calibri"/>
        </w:rPr>
        <w:t xml:space="preserve">Spełnienie wskazanych w umowie wymagań w zakresie dostępności powinno podlegać weryfikacji podczas kontroli realizacji zadań publicznych. </w:t>
      </w:r>
    </w:p>
    <w:p>
      <w:pPr>
        <w:pStyle w:val="Normal"/>
        <w:spacing w:before="0" w:after="200"/>
        <w:rPr>
          <w:rFonts w:cs="Calibri" w:cstheme="minorHAnsi"/>
        </w:rPr>
      </w:pPr>
      <w:r>
        <w:rPr/>
      </w:r>
    </w:p>
    <w:sectPr>
      <w:headerReference w:type="default" r:id="rId2"/>
      <w:footerReference w:type="default" r:id="rId3"/>
      <w:endnotePr>
        <w:numFmt w:val="lowerRoman"/>
      </w:endnotePr>
      <w:type w:val="nextPage"/>
      <w:pgSz w:w="11906" w:h="16838"/>
      <w:pgMar w:left="1417" w:right="1133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Endnote"/>
        <w:rPr>
          <w:sz w:val="22"/>
          <w:szCs w:val="22"/>
        </w:rPr>
      </w:pPr>
      <w:r>
        <w:rPr>
          <w:rStyle w:val="EndnoteCharacters"/>
        </w:rPr>
        <w:endnoteRef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Minimalne wymagania -</w:t>
      </w:r>
      <w:r>
        <w:rPr>
          <w:sz w:val="22"/>
          <w:szCs w:val="22"/>
        </w:rPr>
        <w:t xml:space="preserve"> art. 6 ustawy o zapewnianiu dostępności osobom ze szczególnymi potrzebami </w:t>
      </w:r>
    </w:p>
    <w:p>
      <w:pPr>
        <w:pStyle w:val="Normal"/>
        <w:spacing w:lineRule="auto" w:line="288" w:before="0" w:after="0"/>
        <w:ind w:left="284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Minimalne wymagania służące zapewnieniu dostępności osobom ze szczególnymi potrzebami obejmują:</w:t>
      </w:r>
    </w:p>
    <w:p>
      <w:pPr>
        <w:pStyle w:val="ListParagraph"/>
        <w:numPr>
          <w:ilvl w:val="0"/>
          <w:numId w:val="19"/>
        </w:numPr>
        <w:spacing w:lineRule="auto" w:line="288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w zakresie dostępności architektonicznej:</w:t>
      </w:r>
    </w:p>
    <w:p>
      <w:pPr>
        <w:pStyle w:val="ListParagraph"/>
        <w:numPr>
          <w:ilvl w:val="0"/>
          <w:numId w:val="17"/>
        </w:numPr>
        <w:spacing w:lineRule="auto" w:line="288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zapewnienie wolnych od barier poziomych i pionowych przestrzeni komunikacyjnych budynków,</w:t>
      </w:r>
    </w:p>
    <w:p>
      <w:pPr>
        <w:pStyle w:val="ListParagraph"/>
        <w:numPr>
          <w:ilvl w:val="0"/>
          <w:numId w:val="17"/>
        </w:numPr>
        <w:spacing w:lineRule="auto" w:line="288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>
      <w:pPr>
        <w:pStyle w:val="ListParagraph"/>
        <w:numPr>
          <w:ilvl w:val="0"/>
          <w:numId w:val="17"/>
        </w:numPr>
        <w:spacing w:lineRule="auto" w:line="288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zapewnienie informacji na temat rozkładu pomieszczeń w budynku, co najmniej w sposób wizualny i dotykowy lub głosowy,</w:t>
      </w:r>
    </w:p>
    <w:p>
      <w:pPr>
        <w:pStyle w:val="ListParagraph"/>
        <w:numPr>
          <w:ilvl w:val="0"/>
          <w:numId w:val="17"/>
        </w:numPr>
        <w:spacing w:lineRule="auto" w:line="288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zapewnienie wstępu do budynku osobie korzystającej z psa asystującego, o którym mowa w art. 2 pkt 11 ustawy z dnia 27 sierpnia 1997 r. o rehabilitacji zawodowej i społecznej oraz zatrudnianiu osób niepełnosprawnych (Dz. U. z 2019 r. poz. 1172 i 1495),</w:t>
      </w:r>
    </w:p>
    <w:p>
      <w:pPr>
        <w:pStyle w:val="ListParagraph"/>
        <w:numPr>
          <w:ilvl w:val="0"/>
          <w:numId w:val="17"/>
        </w:numPr>
        <w:spacing w:lineRule="auto" w:line="288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zapewnienie osobom ze szczególnymi potrzebami możliwości ewakuacji lub ich uratowania w inny sposób;</w:t>
      </w:r>
    </w:p>
    <w:p>
      <w:pPr>
        <w:pStyle w:val="ListParagraph"/>
        <w:numPr>
          <w:ilvl w:val="0"/>
          <w:numId w:val="19"/>
        </w:numPr>
        <w:spacing w:lineRule="auto" w:line="288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w zakresie dostępności cyfrowej – wymagania określone w ustawie z dnia 4 kwietnia 2019 r. o dostępności cyfrowej stron internetowych i aplikacji mobilnych podmiotów publicznych;</w:t>
      </w:r>
    </w:p>
    <w:p>
      <w:pPr>
        <w:pStyle w:val="Normal"/>
        <w:spacing w:lineRule="auto" w:line="288" w:before="0" w:after="0"/>
        <w:ind w:left="284" w:hanging="0"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3) w zakresie dostępności informacyjno-komunikacyjnej:</w:t>
      </w:r>
    </w:p>
    <w:p>
      <w:pPr>
        <w:pStyle w:val="ListParagraph"/>
        <w:numPr>
          <w:ilvl w:val="0"/>
          <w:numId w:val="18"/>
        </w:numPr>
        <w:spacing w:lineRule="auto" w:line="288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obsługę z wykorzystaniem środków wspierających komunikowanie się, o których mowa w art. 3 pkt 5 ustawy z dnia 19 sierpnia 2011 r. o języku migowym i innych środkach komunikowania się (Dz. U. z 2017 r. poz. 1824), lub przez wykorzystanie zdalnego dostępu online do usługi tłumacza przez strony internetowe i aplikacje,</w:t>
      </w:r>
    </w:p>
    <w:p>
      <w:pPr>
        <w:pStyle w:val="ListParagraph"/>
        <w:numPr>
          <w:ilvl w:val="0"/>
          <w:numId w:val="18"/>
        </w:numPr>
        <w:spacing w:lineRule="auto" w:line="288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>
      <w:pPr>
        <w:pStyle w:val="ListParagraph"/>
        <w:numPr>
          <w:ilvl w:val="0"/>
          <w:numId w:val="18"/>
        </w:numPr>
        <w:spacing w:lineRule="auto" w:line="288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>
      <w:pPr>
        <w:pStyle w:val="ListParagraph"/>
        <w:numPr>
          <w:ilvl w:val="0"/>
          <w:numId w:val="18"/>
        </w:numPr>
        <w:spacing w:lineRule="auto" w:line="288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zapewnienie, na wniosek osoby ze szczególnymi potrzebami, komunikacji z podmiotem publicznym w formie określonej w tym wniosku.</w:t>
      </w:r>
    </w:p>
    <w:p>
      <w:pPr>
        <w:pStyle w:val="Endnote"/>
        <w:rPr>
          <w:sz w:val="22"/>
          <w:szCs w:val="22"/>
        </w:rPr>
      </w:pPr>
      <w:r>
        <w:rPr/>
      </w:r>
    </w:p>
  </w:endnote>
  <w:endnote w:id="3">
    <w:p>
      <w:pPr>
        <w:pStyle w:val="Endnote"/>
        <w:rPr>
          <w:rFonts w:cs="Calibri" w:cstheme="minorHAnsi"/>
          <w:color w:val="000000"/>
          <w:sz w:val="22"/>
          <w:szCs w:val="22"/>
        </w:rPr>
      </w:pPr>
      <w:r>
        <w:rPr>
          <w:rStyle w:val="EndnoteCharacters"/>
        </w:rPr>
        <w:endnoteRef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Uniwersalne projektowanie</w:t>
      </w:r>
      <w:r>
        <w:rPr>
          <w:sz w:val="22"/>
          <w:szCs w:val="22"/>
        </w:rPr>
        <w:t xml:space="preserve"> – </w:t>
      </w:r>
      <w:r>
        <w:rPr>
          <w:rFonts w:cs="Calibri" w:cstheme="minorHAnsi"/>
          <w:color w:val="000000"/>
          <w:sz w:val="22"/>
          <w:szCs w:val="22"/>
        </w:rPr>
        <w:t>uniwersalne projektowanie, o którym mowa w art. 2 Konwencji o prawach osób niepełnosprawnych, sporządzonej w Nowym Jorku dnia 13 grudnia 2006 r. (Dz. U. z 2012 r. poz. 1169 oraz z 2018 r. poz. 1217), uwzględniane w szczególności w celu spełnienia minimalnych wymagań, o których mowa w art. 6, dla zapewnienia dostępności osobom ze szczególnymi potrzebami;</w:t>
      </w:r>
    </w:p>
    <w:p>
      <w:pPr>
        <w:pStyle w:val="Endnote"/>
        <w:rPr>
          <w:sz w:val="22"/>
          <w:szCs w:val="22"/>
        </w:rPr>
      </w:pPr>
      <w:r>
        <w:rPr/>
      </w:r>
    </w:p>
  </w:endnote>
  <w:endnote w:id="4">
    <w:p>
      <w:pPr>
        <w:pStyle w:val="Endnote"/>
        <w:rPr>
          <w:b/>
          <w:b/>
          <w:bCs/>
          <w:sz w:val="22"/>
          <w:szCs w:val="22"/>
        </w:rPr>
      </w:pPr>
      <w:r>
        <w:rPr>
          <w:rStyle w:val="EndnoteCharacters"/>
        </w:rPr>
        <w:endnoteRef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Dostęp alternatywny – art</w:t>
      </w:r>
      <w:r>
        <w:rPr>
          <w:sz w:val="22"/>
          <w:szCs w:val="22"/>
        </w:rPr>
        <w:t>. 7 ustawy o zapewnianiu dostępności osobom ze szczególnymi potrzebami</w:t>
      </w:r>
    </w:p>
    <w:p>
      <w:pPr>
        <w:pStyle w:val="Normal"/>
        <w:spacing w:lineRule="auto" w:line="240" w:before="0" w:after="0"/>
        <w:ind w:left="284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1. W indywidualnym przypadku, jeżeli podmiot publiczny nie jest w stanie, w szczególności ze względów technicznych lub prawnych, zapewnić dostępności osobie ze szczególnymi potrzebami w zakresie, o którym mowa w art. 6 pkt 1 i 3, podmiot ten jest obowiązany zapewnić takiej osobie dostęp alternatywny.</w:t>
      </w:r>
    </w:p>
    <w:p>
      <w:pPr>
        <w:pStyle w:val="Normal"/>
        <w:spacing w:lineRule="auto" w:line="240" w:before="0" w:after="300"/>
        <w:ind w:left="284" w:hanging="0"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2. Dostęp alternatywny, o którym mowa w ust. 1, polega w szczególności na:</w:t>
      </w:r>
    </w:p>
    <w:p>
      <w:pPr>
        <w:pStyle w:val="Normal"/>
        <w:spacing w:lineRule="auto" w:line="240" w:before="0" w:after="300"/>
        <w:ind w:left="284" w:hanging="0"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1) zapewnieniu osobie ze szczególnymi potrzebami wsparcia innej osoby lub</w:t>
      </w:r>
    </w:p>
    <w:p>
      <w:pPr>
        <w:pStyle w:val="Normal"/>
        <w:spacing w:lineRule="auto" w:line="240" w:before="0" w:after="300"/>
        <w:ind w:left="284" w:hanging="0"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2) zapewnieniu wsparcia technicznego osobie ze szczególnymi potrzebami, w tym z wykorzystaniem nowoczesnych technologii, lub</w:t>
      </w:r>
    </w:p>
    <w:p>
      <w:pPr>
        <w:pStyle w:val="Normal"/>
        <w:spacing w:lineRule="auto" w:line="240" w:before="0" w:after="300"/>
        <w:ind w:left="284" w:hanging="0"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3) wprowadzeniu takiej organizacji podmiotu publicznego, która umożliwi realizację potrzeb osób ze szczególnymi potrzebami, w niezbędnym zakresie dla tych osób.</w:t>
      </w:r>
    </w:p>
    <w:p>
      <w:pPr>
        <w:pStyle w:val="Normal"/>
        <w:spacing w:lineRule="auto" w:line="240" w:before="0" w:after="300"/>
        <w:ind w:left="284" w:hanging="0"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3. W przypadku braku możliwości zapewnienia osobie ze szczególnymi potrzebami dostępności w zakresie, o którym mowa w art. 6 pkt 2, zastosowanie mają przepisy art. 7 ustawy z dnia 4 kwietnia 2019 r. o dostępności cyfrowej stron internetowych i aplikacji mobilnych podmiotów publicznych.</w:t>
      </w:r>
    </w:p>
    <w:p>
      <w:pPr>
        <w:pStyle w:val="Endnote"/>
        <w:rPr>
          <w:sz w:val="22"/>
          <w:szCs w:val="22"/>
        </w:rPr>
      </w:pPr>
      <w:r>
        <w:rPr/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Calibri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207621946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2"/>
      <w:numFmt w:val="upperRoman"/>
      <w:lvlText w:val="%1."/>
      <w:lvlJc w:val="right"/>
      <w:pPr>
        <w:tabs>
          <w:tab w:val="num" w:pos="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068" w:hanging="708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1068" w:hanging="708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2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9"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ndnotePr>
    <w:numFmt w:val="lowerRoman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033587"/>
    <w:pPr>
      <w:keepNext w:val="true"/>
      <w:keepLines/>
      <w:spacing w:before="240" w:after="0"/>
      <w:outlineLvl w:val="0"/>
    </w:pPr>
    <w:rPr>
      <w:rFonts w:ascii="Calibri" w:hAnsi="Calibri" w:eastAsia="" w:cs="" w:cstheme="majorBidi" w:eastAsiaTheme="majorEastAsia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033587"/>
    <w:pPr>
      <w:keepNext w:val="true"/>
      <w:keepLines/>
      <w:numPr>
        <w:ilvl w:val="0"/>
        <w:numId w:val="1"/>
      </w:numPr>
      <w:spacing w:before="40" w:after="0"/>
      <w:outlineLvl w:val="0"/>
    </w:pPr>
    <w:rPr>
      <w:rFonts w:ascii="Calibri" w:hAnsi="Calibri" w:eastAsia="" w:cs="" w:cstheme="majorBidi" w:eastAsiaTheme="majorEastAsia"/>
      <w:b/>
      <w:color w:val="000000" w:themeColor="text1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ec41ee"/>
    <w:rPr>
      <w:sz w:val="20"/>
      <w:szCs w:val="20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ec41ee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01df2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701df2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701df2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be796c"/>
    <w:rPr>
      <w:rFonts w:ascii="Segoe UI" w:hAnsi="Segoe UI" w:cs="Segoe UI"/>
      <w:sz w:val="18"/>
      <w:szCs w:val="18"/>
    </w:rPr>
  </w:style>
  <w:style w:type="character" w:styleId="Nagwek1Znak" w:customStyle="1">
    <w:name w:val="Nagłówek 1 Znak"/>
    <w:basedOn w:val="DefaultParagraphFont"/>
    <w:link w:val="Nagwek1"/>
    <w:uiPriority w:val="9"/>
    <w:qFormat/>
    <w:rsid w:val="00033587"/>
    <w:rPr>
      <w:rFonts w:ascii="Calibri" w:hAnsi="Calibri" w:eastAsia="" w:cs="" w:cstheme="majorBidi" w:eastAsiaTheme="majorEastAsia"/>
      <w:b/>
      <w:color w:val="000000" w:themeColor="text1"/>
      <w:sz w:val="28"/>
      <w:szCs w:val="32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033587"/>
    <w:rPr>
      <w:rFonts w:ascii="Calibri" w:hAnsi="Calibri" w:eastAsia="" w:cs="" w:cstheme="majorBidi" w:eastAsiaTheme="majorEastAsia"/>
      <w:b/>
      <w:color w:val="000000" w:themeColor="text1"/>
      <w:szCs w:val="26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2c66ef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2c66ef"/>
    <w:rPr/>
  </w:style>
  <w:style w:type="character" w:styleId="FootnoteAnchor">
    <w:name w:val="Footnote Anchor"/>
    <w:rPr>
      <w:vertAlign w:val="superscript"/>
    </w:rPr>
  </w:style>
  <w:style w:type="character" w:styleId="FootnoteCharacters">
    <w:name w:val="Foot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001934"/>
    <w:pPr>
      <w:spacing w:before="0" w:after="200"/>
      <w:ind w:left="720" w:hanging="0"/>
      <w:contextualSpacing/>
    </w:pPr>
    <w:rPr/>
  </w:style>
  <w:style w:type="paragraph" w:styleId="Endnote">
    <w:name w:val="Endnote Text"/>
    <w:basedOn w:val="Normal"/>
    <w:link w:val="TekstprzypisukocowegoZnak"/>
    <w:uiPriority w:val="99"/>
    <w:semiHidden/>
    <w:unhideWhenUsed/>
    <w:rsid w:val="00ec41ee"/>
    <w:pPr>
      <w:spacing w:lineRule="auto" w:line="240" w:before="0" w:after="0"/>
    </w:pPr>
    <w:rPr>
      <w:sz w:val="20"/>
      <w:szCs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701df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701df2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e796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P0" w:customStyle="1">
    <w:name w:val="p0"/>
    <w:basedOn w:val="Normal"/>
    <w:qFormat/>
    <w:rsid w:val="00211c8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1" w:customStyle="1">
    <w:name w:val="p1"/>
    <w:basedOn w:val="Normal"/>
    <w:qFormat/>
    <w:rsid w:val="00a2655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2" w:customStyle="1">
    <w:name w:val="p2"/>
    <w:basedOn w:val="Normal"/>
    <w:qFormat/>
    <w:rsid w:val="00a2655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2c66ef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2c66ef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326c1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endnotes" Target="end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43563-080D-437D-8E65-0F2ABF1B9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LibreOffice/6.4.7.2$Linux_X86_64 LibreOffice_project/40$Build-2</Application>
  <Pages>8</Pages>
  <Words>4017</Words>
  <Characters>27265</Characters>
  <CharactersWithSpaces>31167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2021-07-27T09:22:00Z</dcterms:created>
  <dc:creator>Donata Kończyk</dc:creator>
  <dc:description/>
  <dc:language>en-GB</dc:language>
  <cp:lastModifiedBy>Robak Katarzyna</cp:lastModifiedBy>
  <cp:lastPrinted>2021-07-26T06:23:00Z</cp:lastPrinted>
  <dcterms:modified xsi:type="dcterms:W3CDTF">2021-07-29T12:12:00Z</dcterms:modified>
  <cp:revision>3</cp:revision>
  <dc:subject/>
  <dc:title>Wytyczne dostępność w dotacjach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