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„</w:t>
      </w:r>
      <w:r>
        <w:rPr/>
        <w:t>Organizacje pozarządowe wobec pandemii”</w:t>
      </w:r>
    </w:p>
    <w:p>
      <w:pPr>
        <w:pStyle w:val="Normal"/>
        <w:rPr/>
      </w:pPr>
      <w:r>
        <w:rPr/>
        <w:t>Pandemia koronawirusa bardzo mocno dotknęła organizacje pozarządowe i samorząd. Już teraz wiemy, że przez najbliższe lata będziemy zmagali się ze skutkami wywołanego nią  kryzysu finansów m.st. Warszawy. Najprawdopodobniej nie będzie też powrotu do rzeczywistości sprzed pandemii.</w:t>
      </w:r>
    </w:p>
    <w:p>
      <w:pPr>
        <w:pStyle w:val="Normal"/>
        <w:rPr/>
      </w:pPr>
      <w:r>
        <w:rPr/>
        <w:t>Trudno dziś przewidywać jak bardzo obecna sytuacja wpłynie na kondycję III sektora w dłuższej perspektywie. Odpowiedź na to dadzą przyszłe badania robione na różnych etapach wychodzenia z pandemii.  Obecnie dysponujemy raportem Stowarzyszenia Klon/Jawor z badań przeprowadzonych w pierwszym miesiącu kryzysu - w dniach 2-11 kwietnia 2020 roku – czyli po dwóch tygodniach od ogłoszenia stanu epidemii w Polsce. Raport pt. „Organizacje pozarządowe wobec pandemii” został opublikowany w maju 2020 roku</w:t>
      </w:r>
      <w:r>
        <w:rPr>
          <w:rStyle w:val="Zakotwiczenieprzypisudolnego"/>
        </w:rPr>
        <w:footnoteReference w:id="2"/>
      </w:r>
      <w:r>
        <w:rPr/>
        <w:t>. Należy podkreślić, że badania nie mają charakteru reprezentatywnego, mógł w nich uczestniczyć każdy, ale dają ogólny obraz skali problemów spowodowanych pandemią i wyobrażenie z czym będziemy musieli się zmierzyć, po jej ustaniu.</w:t>
      </w:r>
    </w:p>
    <w:p>
      <w:pPr>
        <w:pStyle w:val="Normal"/>
        <w:rPr/>
      </w:pPr>
      <w:r>
        <w:rPr/>
        <w:t xml:space="preserve">Do sporządzenia raportu posłużyło 700 kwestionariuszy wypełnionych online z ok. 20 pytaniami. Odpowiedzi wypłynęły z całego kraju, a udział procentowy organizacji uczestniczących w badaniu, w zależności od miejsca działania, układał się następująco: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22% z terenów wiejskich </w:t>
      </w:r>
    </w:p>
    <w:p>
      <w:pPr>
        <w:pStyle w:val="ListParagraph"/>
        <w:numPr>
          <w:ilvl w:val="0"/>
          <w:numId w:val="2"/>
        </w:numPr>
        <w:rPr/>
      </w:pPr>
      <w:r>
        <w:rPr/>
        <w:t>19% z miast do 50 tys. mieszkańców</w:t>
      </w:r>
    </w:p>
    <w:p>
      <w:pPr>
        <w:pStyle w:val="ListParagraph"/>
        <w:numPr>
          <w:ilvl w:val="0"/>
          <w:numId w:val="2"/>
        </w:numPr>
        <w:rPr/>
      </w:pPr>
      <w:r>
        <w:rPr/>
        <w:t>13% z miast od 50 do 200 tys. mieszkańców</w:t>
      </w:r>
    </w:p>
    <w:p>
      <w:pPr>
        <w:pStyle w:val="ListParagraph"/>
        <w:numPr>
          <w:ilvl w:val="0"/>
          <w:numId w:val="2"/>
        </w:numPr>
        <w:rPr/>
      </w:pPr>
      <w:r>
        <w:rPr/>
        <w:t>47% z miast powyżej 200 tys. mieszkańców</w:t>
      </w:r>
    </w:p>
    <w:p>
      <w:pPr>
        <w:pStyle w:val="Normal"/>
        <w:rPr/>
      </w:pPr>
      <w:r>
        <w:rPr/>
        <w:t>Najważniejsze dane płynące z raportu są następujące:</w:t>
      </w:r>
    </w:p>
    <w:p>
      <w:pPr>
        <w:pStyle w:val="ListParagraph"/>
        <w:numPr>
          <w:ilvl w:val="0"/>
          <w:numId w:val="4"/>
        </w:numPr>
        <w:rPr/>
      </w:pPr>
      <w:r>
        <w:rPr/>
        <w:t>Po dwóch tygodniach od ogłoszenia stanu epidemii 33% organizacji zawiesiło wszystkie działania, a 27% większość z nich – łącznie to aż 60% całego III sektora.</w:t>
      </w:r>
    </w:p>
    <w:p>
      <w:pPr>
        <w:pStyle w:val="ListParagraph"/>
        <w:numPr>
          <w:ilvl w:val="0"/>
          <w:numId w:val="4"/>
        </w:numPr>
        <w:rPr/>
      </w:pPr>
      <w:r>
        <w:rPr/>
        <w:t>Jedynie 14% organizacji prowadziło wszystkie, bądź prawie wszystkie działania, a 25% większość z działań.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Pod względem zawieszonej działalności najgorzej sytuacja wygląda na wsi (43% organizacji zawiesiło wszystkie działania).Sytuacja polepsza się wraz z wielkością miasta (21% organizacji zawiesiło wszystkie działania w miastach powyżej 200 tysięcy mieszkańców).  </w:t>
      </w:r>
    </w:p>
    <w:p>
      <w:pPr>
        <w:pStyle w:val="ListParagraph"/>
        <w:numPr>
          <w:ilvl w:val="0"/>
          <w:numId w:val="4"/>
        </w:numPr>
        <w:rPr/>
      </w:pPr>
      <w:r>
        <w:rPr/>
        <w:t>Pandemia najsilniej dotknęła organizacje zajmujące się sportem (80% zawiesiło wszystkie lub większość dotychczasowych działań), kulturą i sztuką (73%), edukacją i wychowaniem (53%). Najmniej ograniczyły działalność organizacje zajmujące się pomocą społeczną i usługami socjalnymi (15% zawiesiło wszystkie działania, a 26% większość).</w:t>
      </w:r>
    </w:p>
    <w:p>
      <w:pPr>
        <w:pStyle w:val="ListParagraph"/>
        <w:numPr>
          <w:ilvl w:val="0"/>
          <w:numId w:val="4"/>
        </w:numPr>
        <w:rPr/>
      </w:pPr>
      <w:r>
        <w:rPr/>
        <w:t>Wobec nowej sytuacji 32% przedstawicieli III sektora podjęło nowe działania, a 17% je planuje. W większości były one odpowiedzią na potrzeby wywołane pandemią, np.: działania informacyjne, kampanie społeczne, pomoc seniorom, osobom w kwarantannie, czy szycie maseczek.</w:t>
      </w:r>
    </w:p>
    <w:p>
      <w:pPr>
        <w:pStyle w:val="Normal"/>
        <w:rPr/>
      </w:pPr>
      <w:r>
        <w:rPr/>
        <w:t xml:space="preserve">Analizując sytuację i aktywność w tej pierwszej fazie pandemii, autorki raportu podzieliły organizacje na trzy grupy: organizacje zamrożone, walczące i zmobilizowane. </w:t>
      </w:r>
    </w:p>
    <w:p>
      <w:pPr>
        <w:pStyle w:val="ListParagraph"/>
        <w:numPr>
          <w:ilvl w:val="0"/>
          <w:numId w:val="7"/>
        </w:numPr>
        <w:rPr/>
      </w:pPr>
      <w:r>
        <w:rPr/>
        <w:t xml:space="preserve">Organizacje zamrożone (34%) zawiesiły całość lub większość dotychczasowych działań i nie planują nowych. Są to głównie organizacje ze wsi i miast do 50 tys. mieszkańców, zajmujące się sportem i kulturą, opierające się głównie na pracy społecznej i dysponujące rocznym budżetem do 100 tys. złotych. Mają one największy problem z zapewnieniem ciągłości usług, terminową realizacją zobowiązań, wypłatą wynagrodzeń, pozyskiwaniem funduszy oraz pozyskiwaniem zewnętrznych źródeł finansowania. Powyższe problemy wymieniło 80% – 90% badanych z tej grupy. </w:t>
      </w:r>
    </w:p>
    <w:p>
      <w:pPr>
        <w:pStyle w:val="ListParagraph"/>
        <w:numPr>
          <w:ilvl w:val="0"/>
          <w:numId w:val="3"/>
        </w:numPr>
        <w:rPr/>
      </w:pPr>
      <w:r>
        <w:rPr/>
        <w:t>Organizacje walczące (41%) są to organizacje, które zawiesiły większość działań, ale w reakcji na pandemię podjęły lub planują nowe oraz te, które prowadzą większość dotychczasowych działań ale nie planują nowych. Są to zazwyczaj organizacje z większym budżetem rocznym (100 tys. – 500 tys.), borykające się z podobnymi problemami, jak grupa zamrożonych tylko w nieco mniejszym nasileniu.</w:t>
      </w:r>
    </w:p>
    <w:p>
      <w:pPr>
        <w:pStyle w:val="ListParagraph"/>
        <w:numPr>
          <w:ilvl w:val="0"/>
          <w:numId w:val="3"/>
        </w:numPr>
        <w:rPr/>
      </w:pPr>
      <w:r>
        <w:rPr/>
        <w:t>Organizacje zmobilizowane (25%) – w tej grupie znalazły się głównie organizacje z największymi budżetami rocznymi,  z branży pomocy społecznej i usług socjalnych, z miast liczących ponad 200 tys. mieszkańców, zatrudniające płatny personel. Odczuwają podobne problemy, jak przedstawiciele pozostałych dwóch grup, tylko mniej dotkliwie. Największa różnica dotyczyła trudności z wypłatą wynagrodzeń. W stosunku do organizacji zamrożonych problem ten wskazywany był o 30% rzadziej.</w:t>
      </w:r>
    </w:p>
    <w:p>
      <w:pPr>
        <w:pStyle w:val="Normal"/>
        <w:ind w:left="465" w:hanging="0"/>
        <w:rPr/>
      </w:pPr>
      <w:r>
        <w:rPr/>
        <w:t>Kolejną ważną informacją jest to, że połowa organizacji straciła kontakt ze swoimi odbiorcami. Tylko 49% dowiadywało się o ich sytuacji bezpośrednio od beneficjentów. Pojawiły się też nowe problemy i potrzeby odbiorców, z którymi trzeba się będzie zmierzyć w przyszłości. Są to głównie:</w:t>
      </w:r>
    </w:p>
    <w:p>
      <w:pPr>
        <w:pStyle w:val="ListParagraph"/>
        <w:numPr>
          <w:ilvl w:val="0"/>
          <w:numId w:val="5"/>
        </w:numPr>
        <w:rPr/>
      </w:pPr>
      <w:r>
        <w:rPr/>
        <w:t>Osamotnienie, izolacja, niepewność (wskazane przez 43% badanych)</w:t>
      </w:r>
    </w:p>
    <w:p>
      <w:pPr>
        <w:pStyle w:val="ListParagraph"/>
        <w:numPr>
          <w:ilvl w:val="0"/>
          <w:numId w:val="5"/>
        </w:numPr>
        <w:rPr/>
      </w:pPr>
      <w:r>
        <w:rPr/>
        <w:t>Trudności finansowe lub niebezpieczeństwo bezrobocia (27%)</w:t>
      </w:r>
    </w:p>
    <w:p>
      <w:pPr>
        <w:pStyle w:val="ListParagraph"/>
        <w:numPr>
          <w:ilvl w:val="0"/>
          <w:numId w:val="5"/>
        </w:numPr>
        <w:rPr/>
      </w:pPr>
      <w:r>
        <w:rPr/>
        <w:t>Ograniczony dostęp do usług medycznych, rehabilitacji, terapii, a także środków ochrony (23%)</w:t>
      </w:r>
    </w:p>
    <w:p>
      <w:pPr>
        <w:pStyle w:val="ListParagraph"/>
        <w:numPr>
          <w:ilvl w:val="0"/>
          <w:numId w:val="5"/>
        </w:numPr>
        <w:rPr/>
      </w:pPr>
      <w:r>
        <w:rPr/>
        <w:t>Trudności związane ze zdalną edukacją (11%)</w:t>
      </w:r>
    </w:p>
    <w:p>
      <w:pPr>
        <w:pStyle w:val="Normal"/>
        <w:rPr/>
      </w:pPr>
      <w:r>
        <w:rPr/>
        <w:t xml:space="preserve">Ze względu na ograniczenia wynikające z pandemii dla wielu organizacji internet stał się jedyną możliwą przestrzenią aktywności. 38% badanych planuje w dużym stopniu wykorzystanie nowych technologii do prowadzenia działań,  a 42% dopuszcza taki wariant. 20% nie widzi możliwości pracy w trybie zdalnym. Są to ważne informacje w kontekście ponownego pojawienia się tej, czy innych epidemii i odpowiedzi na pytanie jaki procent III sektora będzie w stanie funkcjonować w tych warunkach. </w:t>
      </w:r>
    </w:p>
    <w:p>
      <w:pPr>
        <w:pStyle w:val="Normal"/>
        <w:rPr/>
      </w:pPr>
      <w:r>
        <w:rPr/>
        <w:t>W związku z przeniesieniem aktywności do internetu pojawiły się też nowe potrzeby sprzętowe, technologiczne i kompetencyjne organizacji. Jedynie co piąta z organizacji (22%) miała wystarczające zasoby i kompetencje, a pozostałe zgłaszały następujące potrzeby:</w:t>
      </w:r>
    </w:p>
    <w:p>
      <w:pPr>
        <w:pStyle w:val="ListParagraph"/>
        <w:numPr>
          <w:ilvl w:val="0"/>
          <w:numId w:val="6"/>
        </w:numPr>
        <w:rPr/>
      </w:pPr>
      <w:r>
        <w:rPr/>
        <w:t>Sprzętu (59% badanych)</w:t>
      </w:r>
    </w:p>
    <w:p>
      <w:pPr>
        <w:pStyle w:val="ListParagraph"/>
        <w:numPr>
          <w:ilvl w:val="0"/>
          <w:numId w:val="6"/>
        </w:numPr>
        <w:rPr/>
      </w:pPr>
      <w:r>
        <w:rPr/>
        <w:t>Płatnego oprogramowania (45%)</w:t>
      </w:r>
    </w:p>
    <w:p>
      <w:pPr>
        <w:pStyle w:val="ListParagraph"/>
        <w:numPr>
          <w:ilvl w:val="0"/>
          <w:numId w:val="6"/>
        </w:numPr>
        <w:rPr/>
      </w:pPr>
      <w:r>
        <w:rPr/>
        <w:t>Kompetencji związanych z nowymi technologiami (42%)</w:t>
      </w:r>
    </w:p>
    <w:p>
      <w:pPr>
        <w:pStyle w:val="ListParagraph"/>
        <w:numPr>
          <w:ilvl w:val="0"/>
          <w:numId w:val="6"/>
        </w:numPr>
        <w:rPr/>
      </w:pPr>
      <w:r>
        <w:rPr/>
        <w:t>Dostępu do szybkiego internetu (41%)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pierwszym okresie pandemii najczęstszym problemem wskazywanym przez organizacje było zapewnienie ciągłości świadczonych usług i dochowanie terminów. Kolejne miejsca zajmowały sprawy związane z finansami. Możemy się domyślać, że z czasem kwestia wyczerpujących się środków będzie coraz ważniejsza. Procentowo, najczęściej wymieniane problemy układały się następująco:</w:t>
      </w:r>
    </w:p>
    <w:p>
      <w:pPr>
        <w:pStyle w:val="ListParagraph"/>
        <w:numPr>
          <w:ilvl w:val="0"/>
          <w:numId w:val="1"/>
        </w:numPr>
        <w:rPr/>
      </w:pPr>
      <w:r>
        <w:rPr/>
        <w:t>Zapewnienie ciągłości usług świadczonych na rzecz beneficjentów (76%)</w:t>
      </w:r>
    </w:p>
    <w:p>
      <w:pPr>
        <w:pStyle w:val="ListParagraph"/>
        <w:numPr>
          <w:ilvl w:val="0"/>
          <w:numId w:val="1"/>
        </w:numPr>
        <w:rPr/>
      </w:pPr>
      <w:r>
        <w:rPr/>
        <w:t>Terminowa realizacja zobowiązań projektowych (69%), terminowe wywiązanie się z obowiązków formalnych (60%)</w:t>
      </w:r>
    </w:p>
    <w:p>
      <w:pPr>
        <w:pStyle w:val="ListParagraph"/>
        <w:numPr>
          <w:ilvl w:val="0"/>
          <w:numId w:val="1"/>
        </w:numPr>
        <w:rPr/>
      </w:pPr>
      <w:r>
        <w:rPr/>
        <w:t>Korzystanie z pomocy wolontariuszy (53%)</w:t>
      </w:r>
    </w:p>
    <w:p>
      <w:pPr>
        <w:pStyle w:val="ListParagraph"/>
        <w:numPr>
          <w:ilvl w:val="0"/>
          <w:numId w:val="1"/>
        </w:numPr>
        <w:rPr/>
      </w:pPr>
      <w:r>
        <w:rPr/>
        <w:t>Utrzymanie dotychczasowych darczyńców i sponsorów (53%), prowadzenie działań fundraisingowych (51%)</w:t>
      </w:r>
    </w:p>
    <w:p>
      <w:pPr>
        <w:pStyle w:val="ListParagraph"/>
        <w:numPr>
          <w:ilvl w:val="0"/>
          <w:numId w:val="1"/>
        </w:numPr>
        <w:rPr/>
      </w:pPr>
      <w:r>
        <w:rPr/>
        <w:t>Pokrycie stałych wydatków, np. czynsz, media (47%), wypłata wynagrodzeń osobom na innych umowach niż umowa o pracę (45%), płacenie podatków i opłat od wynagrodzeń oraz innych podatków (37%), wypłata wynagrodzeń osobom zatrudnionym na umowę o pracę (34%)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Jako najważniejszą indywidualną potrzebę organizacje wskazywały wsparcie finansowe, które pozwoliłoby na zachowanie płynności. Powiązane z tym jest kolejne silne oczekiwanie - elastyczność grantodawców przy rozliczaniu projektów. Organizacje liczą na możliwość modyfikacji działań, wskaźników czy harmonogramu, ale też na gwarancje co do niezrywania umów. Organizacje bardzo potrzebują też jasnych wykładni prawa i wiarygodnych informacji od państwa i samorządu, po to, aby móc zaplanować swoje działania. Procentowo odpowiedzi układały się następująco:</w:t>
      </w:r>
    </w:p>
    <w:p>
      <w:pPr>
        <w:pStyle w:val="ListParagraph"/>
        <w:numPr>
          <w:ilvl w:val="0"/>
          <w:numId w:val="1"/>
        </w:numPr>
        <w:rPr/>
      </w:pPr>
      <w:r>
        <w:rPr/>
        <w:t>Wsparcie finansowe w zachowaniu płynności i wypłacie wynagrodzeń; ulgi finansowe (ZUS, opłaty stałe, media, czynsz) - 37%</w:t>
      </w:r>
    </w:p>
    <w:p>
      <w:pPr>
        <w:pStyle w:val="ListParagraph"/>
        <w:numPr>
          <w:ilvl w:val="0"/>
          <w:numId w:val="1"/>
        </w:numPr>
        <w:rPr/>
      </w:pPr>
      <w:r>
        <w:rPr/>
        <w:t>Elastyczność w rozliczaniu projektów (możliwość modyfikacji zadań, wskaźników, harmonogramu); gwarancje grantodawców co do niezrywania umów - 22%</w:t>
      </w:r>
    </w:p>
    <w:p>
      <w:pPr>
        <w:pStyle w:val="ListParagraph"/>
        <w:numPr>
          <w:ilvl w:val="0"/>
          <w:numId w:val="1"/>
        </w:numPr>
        <w:rPr/>
      </w:pPr>
      <w:r>
        <w:rPr/>
        <w:t>Dostęp do wiarygodnych informacji od państwa, samorządu/ jasne wykładnie prawne 12%</w:t>
      </w:r>
    </w:p>
    <w:p>
      <w:pPr>
        <w:pStyle w:val="ListParagraph"/>
        <w:numPr>
          <w:ilvl w:val="0"/>
          <w:numId w:val="1"/>
        </w:numPr>
        <w:rPr/>
      </w:pPr>
      <w:r>
        <w:rPr/>
        <w:t>Wsparcie IT: dostęp do sprzętu i oprogramowania w wersji pełnej; możliwość zdalnego załatwiania spraw w urzędach, u grantodawców 10%</w:t>
      </w:r>
    </w:p>
    <w:p>
      <w:pPr>
        <w:pStyle w:val="Normal"/>
        <w:rPr/>
      </w:pPr>
      <w:r>
        <w:rPr/>
        <w:t>Badani poproszeni zostali też o odpowiedź na pytanie o potrzeby z perspektywy całego sektora pozarządowego i najczęściej udzielane odpowiedzi były bardzo podobne do tych indywidualnych:</w:t>
      </w:r>
    </w:p>
    <w:p>
      <w:pPr>
        <w:pStyle w:val="ListParagraph"/>
        <w:numPr>
          <w:ilvl w:val="0"/>
          <w:numId w:val="1"/>
        </w:numPr>
        <w:rPr/>
      </w:pPr>
      <w:r>
        <w:rPr/>
        <w:t>Wsparcie finansowe w zachowaniu płynności i wypłacie wynagrodzeń / ulgi finansowe - 50%.</w:t>
      </w:r>
    </w:p>
    <w:p>
      <w:pPr>
        <w:pStyle w:val="ListParagraph"/>
        <w:numPr>
          <w:ilvl w:val="0"/>
          <w:numId w:val="1"/>
        </w:numPr>
        <w:rPr/>
      </w:pPr>
      <w:r>
        <w:rPr/>
        <w:t>Dostosowanie wymogów formalnych do obecnej sytuacji: sprawozdawczość (odroczenie terminów składania sprawozdań, organizacji walnych itp. oraz klarowne informowanie o zmianach z wyprzedzeniem), rozliczanie projektów (możliwość modyfikacji działań, harmonogramu, wskaźników) - 40%</w:t>
      </w:r>
    </w:p>
    <w:p>
      <w:pPr>
        <w:pStyle w:val="ListParagraph"/>
        <w:numPr>
          <w:ilvl w:val="0"/>
          <w:numId w:val="1"/>
        </w:numPr>
        <w:rPr/>
      </w:pPr>
      <w:r>
        <w:rPr/>
        <w:t>Tarcza dla III sektora (wypracowana wspólnie z NGO) / tarcza centralna i programy wsparcia w regionach - 13%</w:t>
      </w:r>
    </w:p>
    <w:p>
      <w:pPr>
        <w:pStyle w:val="Normal"/>
        <w:rPr/>
      </w:pPr>
      <w:r>
        <w:rPr/>
        <w:t xml:space="preserve">Eksperci komentujący wyniki tych badań, podkreślają, że najważniejsze jest teraz pytanie: co dalej? Jak prowadzić działania, gdy ta sytuacja będzie się przedłużać, czy nowa rzeczywistość stanie się nową normalnością. Zwracają uwagę, że kryzys mocno obnażył jedną z największych słabości III sektora – brak zasobów materialnych i za duże uzależnienie finansowe od innych sektorów. Organizacje pozarządowe muszą tak przeformułować model działania, by mogły tworzyć majątek organizacji m.in. na takie sytuacje kryzysowe. Wymaga to zmian systemowych prawa dotyczącego darowizn i sposobu kontraktowania zadań publicznych. Specjaliści wskazują też, że nowa rzeczywistość to czas, kiedy organizacje i samorząd muszą wspólnie zastanowić się, na jakich zasadach mają dalej współpracować. Samorządy będą miały mniej środków i trzeba będzie właściwie wybrać priorytety, również w odniesieniu do współpracy z organizacjami społecznymi.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92813708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i/>
        </w:rPr>
        <w:t xml:space="preserve">Organizacje pozarządowe wobec pandemii. Raport z badań, </w:t>
      </w:r>
      <w:r>
        <w:rPr/>
        <w:t>Beata Charycka, Marta Gumkowska, Stowarzyszenie Klon/Jawor, maj 2020.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58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12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7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4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8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6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05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8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2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4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1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58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d68c2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d68c2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33ab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3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a20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a203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a2030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a2030"/>
    <w:rPr>
      <w:rFonts w:ascii="Tahoma" w:hAnsi="Tahoma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17e07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d68c2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33ab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33ab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a20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a203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a20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60C3-3D07-4A1B-9A92-DF481E55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LibreOffice/6.4.5.2$Linux_X86_64 LibreOffice_project/40$Build-2</Application>
  <Pages>4</Pages>
  <Words>1260</Words>
  <Characters>8132</Characters>
  <CharactersWithSpaces>9332</CharactersWithSpaces>
  <Paragraphs>47</Paragraphs>
  <Company>Urzad Miasta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2020-08-25T07:16:00Z</dcterms:created>
  <dc:creator>Kołacz Grzegorz</dc:creator>
  <dc:description/>
  <dc:language>pl-PL</dc:language>
  <cp:lastModifiedBy>Danielska Iwona</cp:lastModifiedBy>
  <dcterms:modified xsi:type="dcterms:W3CDTF">2020-08-25T07:16:00Z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Urzad Miasta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