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shd w:val="clear" w:color="auto" w:fill="FFFFFF"/>
        <w:spacing w:lineRule="auto" w:line="240" w:before="0" w:after="120"/>
        <w:jc w:val="right"/>
        <w:textAlignment w:val="baseline"/>
        <w:outlineLvl w:val="1"/>
        <w:rPr>
          <w:rFonts w:eastAsia="Times New Roman" w:cs="Calibri" w:cstheme="minorHAnsi"/>
          <w:b/>
          <w:b/>
          <w:bCs/>
          <w:color w:val="1B1B1B"/>
          <w:sz w:val="24"/>
          <w:szCs w:val="24"/>
          <w:lang w:eastAsia="pl-PL"/>
        </w:rPr>
      </w:pPr>
      <w:r>
        <w:rPr>
          <w:rFonts w:eastAsia="Times New Roman" w:cs="Calibri" w:cstheme="minorHAnsi"/>
          <w:color w:val="1B1B1B"/>
          <w:sz w:val="24"/>
          <w:szCs w:val="24"/>
          <w:lang w:eastAsia="pl-PL"/>
        </w:rPr>
        <w:t>Warszawa, 20 marca 2020 roku</w:t>
      </w:r>
    </w:p>
    <w:p>
      <w:pPr>
        <w:pStyle w:val="Normal"/>
        <w:numPr>
          <w:ilvl w:val="0"/>
          <w:numId w:val="0"/>
        </w:numPr>
        <w:shd w:val="clear" w:color="auto" w:fill="FFFFFF"/>
        <w:spacing w:lineRule="auto" w:line="240" w:before="0" w:after="120"/>
        <w:jc w:val="right"/>
        <w:textAlignment w:val="baseline"/>
        <w:outlineLvl w:val="1"/>
        <w:rPr>
          <w:rFonts w:eastAsia="Times New Roman" w:cs="Calibri" w:cstheme="minorHAnsi"/>
          <w:b/>
          <w:b/>
          <w:bCs/>
          <w:color w:val="1B1B1B"/>
          <w:sz w:val="24"/>
          <w:szCs w:val="24"/>
          <w:lang w:eastAsia="pl-PL"/>
        </w:rPr>
      </w:pPr>
      <w:r>
        <w:rPr>
          <w:rFonts w:eastAsia="Times New Roman" w:cs="Calibri" w:cstheme="minorHAnsi"/>
          <w:b/>
          <w:bCs/>
          <w:color w:val="1B1B1B"/>
          <w:sz w:val="24"/>
          <w:szCs w:val="24"/>
          <w:lang w:eastAsia="pl-PL"/>
        </w:rPr>
      </w:r>
    </w:p>
    <w:p>
      <w:pPr>
        <w:pStyle w:val="Normal"/>
        <w:numPr>
          <w:ilvl w:val="0"/>
          <w:numId w:val="0"/>
        </w:numPr>
        <w:shd w:val="clear" w:color="auto" w:fill="FFFFFF"/>
        <w:spacing w:lineRule="auto" w:line="240" w:before="0" w:after="120"/>
        <w:jc w:val="right"/>
        <w:textAlignment w:val="baseline"/>
        <w:outlineLvl w:val="1"/>
        <w:rPr>
          <w:rFonts w:eastAsia="Times New Roman" w:cs="Calibri" w:cstheme="minorHAnsi"/>
          <w:b/>
          <w:b/>
          <w:bCs/>
          <w:color w:val="1B1B1B"/>
          <w:sz w:val="24"/>
          <w:szCs w:val="24"/>
          <w:lang w:eastAsia="pl-PL"/>
        </w:rPr>
      </w:pPr>
      <w:r>
        <w:rPr>
          <w:rFonts w:eastAsia="Times New Roman" w:cs="Calibri" w:cstheme="minorHAnsi"/>
          <w:b/>
          <w:bCs/>
          <w:color w:val="1B1B1B"/>
          <w:sz w:val="24"/>
          <w:szCs w:val="24"/>
          <w:lang w:eastAsia="pl-PL"/>
        </w:rPr>
      </w:r>
    </w:p>
    <w:p>
      <w:pPr>
        <w:pStyle w:val="Normal"/>
        <w:numPr>
          <w:ilvl w:val="0"/>
          <w:numId w:val="0"/>
        </w:numPr>
        <w:shd w:val="clear" w:color="auto" w:fill="FFFFFF"/>
        <w:spacing w:lineRule="auto" w:line="240" w:before="0" w:after="120"/>
        <w:jc w:val="right"/>
        <w:textAlignment w:val="baseline"/>
        <w:outlineLvl w:val="1"/>
        <w:rPr>
          <w:rFonts w:eastAsia="Times New Roman" w:cs="Calibri" w:cstheme="minorHAnsi"/>
          <w:b/>
          <w:b/>
          <w:bCs/>
          <w:color w:val="1B1B1B"/>
          <w:sz w:val="24"/>
          <w:szCs w:val="24"/>
          <w:lang w:eastAsia="pl-PL"/>
        </w:rPr>
      </w:pPr>
      <w:r>
        <w:rPr>
          <w:rFonts w:eastAsia="Times New Roman" w:cs="Calibri" w:cstheme="minorHAnsi"/>
          <w:b/>
          <w:bCs/>
          <w:color w:val="1B1B1B"/>
          <w:sz w:val="24"/>
          <w:szCs w:val="24"/>
          <w:lang w:eastAsia="pl-PL"/>
        </w:rPr>
        <w:t xml:space="preserve">Szanowna Pani </w:t>
      </w:r>
    </w:p>
    <w:p>
      <w:pPr>
        <w:pStyle w:val="Normal"/>
        <w:numPr>
          <w:ilvl w:val="0"/>
          <w:numId w:val="0"/>
        </w:numPr>
        <w:shd w:val="clear" w:color="auto" w:fill="FFFFFF"/>
        <w:spacing w:lineRule="auto" w:line="240" w:before="0" w:after="120"/>
        <w:jc w:val="right"/>
        <w:textAlignment w:val="baseline"/>
        <w:outlineLvl w:val="1"/>
        <w:rPr>
          <w:rFonts w:eastAsia="Times New Roman" w:cs="Calibri" w:cstheme="minorHAnsi"/>
          <w:b/>
          <w:b/>
          <w:bCs/>
          <w:color w:val="1B1B1B"/>
          <w:sz w:val="24"/>
          <w:szCs w:val="24"/>
          <w:lang w:eastAsia="pl-PL"/>
        </w:rPr>
      </w:pPr>
      <w:r>
        <w:rPr>
          <w:rFonts w:eastAsia="Times New Roman" w:cs="Calibri" w:cstheme="minorHAnsi"/>
          <w:b/>
          <w:bCs/>
          <w:color w:val="1B1B1B"/>
          <w:sz w:val="24"/>
          <w:szCs w:val="24"/>
          <w:lang w:eastAsia="pl-PL"/>
        </w:rPr>
        <w:t>Małgorzata Jarosińska-Jedynak</w:t>
      </w:r>
    </w:p>
    <w:p>
      <w:pPr>
        <w:pStyle w:val="Normalny1"/>
        <w:spacing w:lineRule="auto" w:line="240" w:before="0" w:after="120"/>
        <w:jc w:val="right"/>
        <w:rPr>
          <w:rFonts w:ascii="Calibri" w:hAnsi="Calibri" w:cs="Calibri" w:asciiTheme="minorHAnsi" w:cstheme="minorHAnsi" w:hAnsiTheme="minorHAnsi"/>
          <w:b/>
          <w:b/>
          <w:sz w:val="24"/>
          <w:szCs w:val="24"/>
        </w:rPr>
      </w:pPr>
      <w:bookmarkStart w:id="0" w:name="_GoBack"/>
      <w:bookmarkEnd w:id="0"/>
      <w:r>
        <w:rPr>
          <w:rFonts w:cs="Calibri" w:ascii="Calibri" w:hAnsi="Calibri" w:asciiTheme="minorHAnsi" w:cstheme="minorHAnsi" w:hAnsiTheme="minorHAnsi"/>
          <w:b/>
          <w:sz w:val="24"/>
          <w:szCs w:val="24"/>
        </w:rPr>
        <w:t>Minister Funduszy i Polityki Regionalnej</w:t>
      </w:r>
    </w:p>
    <w:p>
      <w:pPr>
        <w:pStyle w:val="Normalny1"/>
        <w:spacing w:lineRule="auto" w:line="240" w:before="0" w:after="120"/>
        <w:rPr>
          <w:rFonts w:ascii="Calibri" w:hAnsi="Calibri" w:cs="Calibri" w:asciiTheme="minorHAnsi" w:cstheme="minorHAnsi" w:hAnsiTheme="minorHAnsi"/>
          <w:sz w:val="24"/>
          <w:szCs w:val="24"/>
        </w:rPr>
      </w:pPr>
      <w:r>
        <w:rPr>
          <w:rFonts w:cs="Calibri" w:cstheme="minorHAnsi" w:ascii="Calibri" w:hAnsi="Calibri"/>
          <w:sz w:val="24"/>
          <w:szCs w:val="24"/>
        </w:rPr>
      </w:r>
    </w:p>
    <w:p>
      <w:pPr>
        <w:pStyle w:val="Normalny1"/>
        <w:spacing w:lineRule="auto" w:line="240" w:before="0" w:after="120"/>
        <w:rPr>
          <w:rFonts w:ascii="Calibri" w:hAnsi="Calibri" w:cs="Calibri" w:asciiTheme="minorHAnsi" w:cstheme="minorHAnsi" w:hAnsiTheme="minorHAnsi"/>
          <w:sz w:val="24"/>
          <w:szCs w:val="24"/>
        </w:rPr>
      </w:pPr>
      <w:r>
        <w:rPr>
          <w:rFonts w:cs="Calibri" w:cstheme="minorHAnsi" w:ascii="Calibri" w:hAnsi="Calibri"/>
          <w:sz w:val="24"/>
          <w:szCs w:val="24"/>
        </w:rPr>
      </w:r>
    </w:p>
    <w:p>
      <w:pPr>
        <w:pStyle w:val="Normalny1"/>
        <w:spacing w:lineRule="auto" w:line="240" w:before="0" w:after="120"/>
        <w:rPr>
          <w:rFonts w:ascii="Calibri" w:hAnsi="Calibri" w:cs="Calibri" w:asciiTheme="minorHAnsi" w:cstheme="minorHAnsi" w:hAnsiTheme="minorHAnsi"/>
          <w:i/>
          <w:i/>
          <w:sz w:val="24"/>
          <w:szCs w:val="24"/>
        </w:rPr>
      </w:pPr>
      <w:r>
        <w:rPr>
          <w:rFonts w:cs="Calibri" w:ascii="Calibri" w:hAnsi="Calibri" w:asciiTheme="minorHAnsi" w:cstheme="minorHAnsi" w:hAnsiTheme="minorHAnsi"/>
          <w:i/>
          <w:sz w:val="24"/>
          <w:szCs w:val="24"/>
        </w:rPr>
        <w:t>Szanowna Pani Minister</w:t>
      </w:r>
    </w:p>
    <w:p>
      <w:pPr>
        <w:pStyle w:val="Normalny1"/>
        <w:spacing w:lineRule="auto" w:line="240" w:before="0" w:after="120"/>
        <w:jc w:val="both"/>
        <w:rPr>
          <w:rFonts w:ascii="Calibri" w:hAnsi="Calibri" w:cs="Calibri" w:asciiTheme="minorHAnsi" w:cstheme="minorHAnsi" w:hAnsiTheme="minorHAnsi"/>
          <w:sz w:val="24"/>
          <w:szCs w:val="24"/>
        </w:rPr>
      </w:pPr>
      <w:r>
        <w:rPr>
          <w:rFonts w:cs="Calibri" w:ascii="Calibri" w:hAnsi="Calibri" w:asciiTheme="minorHAnsi" w:cstheme="minorHAnsi" w:hAnsiTheme="minorHAnsi"/>
          <w:sz w:val="24"/>
          <w:szCs w:val="24"/>
        </w:rPr>
        <w:t xml:space="preserve">Jako organizacje sektora ekonomii społecznej i solidarnej, w  szczególności podmioty prowadzące Ośrodki Wsparcia Ekonomii Społecznej z olbrzymim niepokojem obserwujemy sytuację podmiotów ekonomii społecznej, w tym przedsiębiorstw społecznych, </w:t>
        <w:br/>
        <w:t>które zatrudniają osoby zagrożone wykluczeniem społecznymi w związku z wprowadzeniem stanu zagrożenia epidemiologicznego i sytuacji kryzysowej.</w:t>
      </w:r>
    </w:p>
    <w:p>
      <w:pPr>
        <w:pStyle w:val="NormalWeb"/>
        <w:spacing w:beforeAutospacing="0" w:before="0" w:afterAutospacing="0" w:after="120"/>
        <w:jc w:val="both"/>
        <w:rPr>
          <w:rFonts w:ascii="Calibri" w:hAnsi="Calibri" w:cs="Calibri" w:asciiTheme="minorHAnsi" w:cstheme="minorHAnsi" w:hAnsiTheme="minorHAnsi"/>
        </w:rPr>
      </w:pPr>
      <w:r>
        <w:rPr>
          <w:rFonts w:cs="Calibri" w:ascii="Calibri" w:hAnsi="Calibri" w:asciiTheme="minorHAnsi" w:cstheme="minorHAnsi" w:hAnsiTheme="minorHAnsi"/>
          <w:color w:val="000000"/>
        </w:rPr>
        <w:t xml:space="preserve">Rozumiejąc obiektywne przyczyny takiego stanu, zdajemy sobie sprawę jak wielkim wysiłkiem dla Państwa  jest przeciwdziałanie kryzysowi w sektorze gospodarczym. Z dużym uznaniem przyjęliśmy </w:t>
      </w:r>
      <w:r>
        <w:rPr>
          <w:rFonts w:cs="Calibri" w:ascii="Calibri" w:hAnsi="Calibri" w:asciiTheme="minorHAnsi" w:cstheme="minorHAnsi" w:hAnsiTheme="minorHAnsi"/>
          <w:color w:val="1B1B1B"/>
          <w:shd w:fill="FFFFFF" w:val="clear"/>
        </w:rPr>
        <w:t xml:space="preserve">pakiet rekomendacji, które mają pomóc w realizacji projektów współfinansowanych z Europejskiego Funduszu Społecznego (EFS). Wydaje się jednak, </w:t>
        <w:br/>
        <w:t>że konieczne są dalsze działania, które wesprą grupę przedsiębiorców społecznych, którzy dają pracę wielu tysiącom osób. Wielu z nich nie ma obecnie możliwości działania, bowiem realizują je na co dzień m. in. w obszarze gastronomii, turystyki, rekreacji, edukacji czy usług społecznych. W związku z tym grozi im bankructwo oraz zwolnienia pracowników.</w:t>
      </w:r>
    </w:p>
    <w:p>
      <w:pPr>
        <w:pStyle w:val="NormalWeb"/>
        <w:spacing w:beforeAutospacing="0" w:before="240" w:afterAutospacing="0" w:after="120"/>
        <w:jc w:val="both"/>
        <w:rPr>
          <w:rFonts w:ascii="Calibri" w:hAnsi="Calibri" w:cs="Calibri" w:asciiTheme="minorHAnsi" w:cstheme="minorHAnsi" w:hAnsiTheme="minorHAnsi"/>
        </w:rPr>
      </w:pPr>
      <w:r>
        <w:rPr>
          <w:rFonts w:cs="Calibri" w:ascii="Calibri" w:hAnsi="Calibri" w:asciiTheme="minorHAnsi" w:cstheme="minorHAnsi" w:hAnsiTheme="minorHAnsi"/>
          <w:color w:val="1B1B1B"/>
          <w:shd w:fill="FFFFFF" w:val="clear"/>
        </w:rPr>
        <w:t xml:space="preserve">Aby umożliwić jak najszybsze działania, proponujemy wykorzystanie istniejących możliwości w ramach Europejskiego Funduszu Społecznego, w szczególności w </w:t>
      </w:r>
      <w:r>
        <w:rPr>
          <w:rFonts w:cs="Calibri" w:ascii="Calibri" w:hAnsi="Calibri" w:asciiTheme="minorHAnsi" w:cstheme="minorHAnsi" w:hAnsiTheme="minorHAnsi"/>
          <w:i/>
          <w:iCs/>
          <w:color w:val="000000"/>
        </w:rPr>
        <w:t>Wytycznych Ministra Funduszy i Polityki Regionalnej w zakresie realizacji przedsięwzięć w obszarze włączenia społecznego i zwalczania ubóstwa z wykorzystaniem środków Europejskiego Funduszu Społecznego i Europejskiego Funduszu Rozwoju Regionalnego na lata 2014-2020</w:t>
      </w:r>
      <w:r>
        <w:rPr>
          <w:rFonts w:cs="Calibri" w:ascii="Calibri" w:hAnsi="Calibri" w:asciiTheme="minorHAnsi" w:cstheme="minorHAnsi" w:hAnsiTheme="minorHAnsi"/>
          <w:color w:val="000000"/>
        </w:rPr>
        <w:t>. Zgłaszamy zatem propozycję kompleksowych zmian, które umożliwią szybkie działania bez potrzeby innych zmian prawnych, a w znaczący sposób mogą pomóc w łagodzeniu kryzysu w sektorze ekonomii społecznej. Zostały one uzgodnione w szerokim gronie Ośrodków Wsparcia Ekonomii Społecznej, przedsiębiorców społecznych oraz podmiotów ekonomii społecznej</w:t>
        <w:br/>
        <w:t>i solidarnej. Powinny one wejść w życie jak najszybciej, bez względu na wersję Wytycznych stosowanych w danym województwie. Propozycje zmian  przedstawiamy w załączeniu. </w:t>
      </w:r>
    </w:p>
    <w:p>
      <w:pPr>
        <w:pStyle w:val="NormalWeb"/>
        <w:spacing w:beforeAutospacing="0" w:before="240" w:afterAutospacing="0" w:after="120"/>
        <w:jc w:val="both"/>
        <w:rPr>
          <w:rFonts w:ascii="Calibri" w:hAnsi="Calibri" w:cs="Calibri" w:asciiTheme="minorHAnsi" w:cstheme="minorHAnsi" w:hAnsiTheme="minorHAnsi"/>
        </w:rPr>
      </w:pPr>
      <w:r>
        <w:rPr>
          <w:rFonts w:cs="Calibri" w:ascii="Calibri" w:hAnsi="Calibri" w:asciiTheme="minorHAnsi" w:cstheme="minorHAnsi" w:hAnsiTheme="minorHAnsi"/>
          <w:color w:val="000000"/>
        </w:rPr>
        <w:t>Równocześnie zwracamy się o rozpatrzenie następujących kwestii: </w:t>
      </w:r>
    </w:p>
    <w:p>
      <w:pPr>
        <w:pStyle w:val="NormalWeb"/>
        <w:numPr>
          <w:ilvl w:val="0"/>
          <w:numId w:val="1"/>
        </w:numPr>
        <w:spacing w:beforeAutospacing="0" w:before="0" w:afterAutospacing="0" w:after="0"/>
        <w:jc w:val="both"/>
        <w:textAlignment w:val="baseline"/>
        <w:rPr>
          <w:rFonts w:ascii="Calibri" w:hAnsi="Calibri" w:cs="Calibri" w:asciiTheme="minorHAnsi" w:cstheme="minorHAnsi" w:hAnsiTheme="minorHAnsi"/>
          <w:color w:val="222222"/>
        </w:rPr>
      </w:pPr>
      <w:r>
        <w:rPr>
          <w:rFonts w:cs="Calibri" w:ascii="Calibri" w:hAnsi="Calibri" w:asciiTheme="minorHAnsi" w:cstheme="minorHAnsi" w:hAnsiTheme="minorHAnsi"/>
          <w:color w:val="222222"/>
          <w:shd w:fill="FFFFFF" w:val="clear"/>
        </w:rPr>
        <w:t xml:space="preserve">Zasadne jest </w:t>
      </w:r>
      <w:r>
        <w:rPr>
          <w:rFonts w:cs="Calibri" w:ascii="Calibri" w:hAnsi="Calibri" w:asciiTheme="minorHAnsi" w:cstheme="minorHAnsi" w:hAnsiTheme="minorHAnsi"/>
          <w:color w:val="000000"/>
        </w:rPr>
        <w:t xml:space="preserve">zwiększenie alokacji środków dla Ośrodków Wsparcia Ekonomii Społecznej, które realizują proces wsparcia sektora ekonomii społecznej i solidarnej </w:t>
        <w:br/>
        <w:t>w ramach Regionalnych Programów Operacyjnych. W związku z tym prosimy</w:t>
        <w:br/>
        <w:t>o rekomendowanie takich rozwiązań samorządom wojewódzkim. Takie działanie znacząco ułatwiłoby realizację szybkiej i skutecznej pomocy dla podmiotów ekonomii społecznej.</w:t>
      </w:r>
    </w:p>
    <w:p>
      <w:pPr>
        <w:pStyle w:val="NormalWeb"/>
        <w:numPr>
          <w:ilvl w:val="0"/>
          <w:numId w:val="1"/>
        </w:numPr>
        <w:spacing w:beforeAutospacing="0" w:before="0" w:afterAutospacing="0" w:after="0"/>
        <w:jc w:val="both"/>
        <w:textAlignment w:val="baseline"/>
        <w:rPr>
          <w:rFonts w:ascii="Calibri" w:hAnsi="Calibri" w:cs="Calibri" w:asciiTheme="minorHAnsi" w:cstheme="minorHAnsi" w:hAnsiTheme="minorHAnsi"/>
          <w:color w:val="000000"/>
        </w:rPr>
      </w:pPr>
      <w:r>
        <w:rPr>
          <w:rFonts w:cs="Calibri" w:ascii="Calibri" w:hAnsi="Calibri" w:asciiTheme="minorHAnsi" w:cstheme="minorHAnsi" w:hAnsiTheme="minorHAnsi"/>
          <w:color w:val="000000"/>
        </w:rPr>
        <w:t xml:space="preserve">Niezbędne są korekty związane z innymi dokumentami wdrożeniowymi, w tym </w:t>
        <w:br/>
        <w:t xml:space="preserve">w Wytycznymi w zakresie kwalifikowalności wydatków w ramach EFRR, EFS </w:t>
        <w:br/>
        <w:t>oraz Funduszu Spójności, m.in.:</w:t>
      </w:r>
    </w:p>
    <w:p>
      <w:pPr>
        <w:pStyle w:val="NormalWeb"/>
        <w:numPr>
          <w:ilvl w:val="0"/>
          <w:numId w:val="2"/>
        </w:numPr>
        <w:spacing w:beforeAutospacing="0" w:before="0" w:afterAutospacing="0" w:after="0"/>
        <w:jc w:val="both"/>
        <w:textAlignment w:val="baseline"/>
        <w:rPr>
          <w:rFonts w:ascii="Calibri" w:hAnsi="Calibri" w:cs="Calibri" w:asciiTheme="minorHAnsi" w:cstheme="minorHAnsi" w:hAnsiTheme="minorHAnsi"/>
          <w:color w:val="000000"/>
        </w:rPr>
      </w:pPr>
      <w:r>
        <w:rPr>
          <w:rFonts w:cs="Calibri" w:ascii="Calibri" w:hAnsi="Calibri" w:asciiTheme="minorHAnsi" w:cstheme="minorHAnsi" w:hAnsiTheme="minorHAnsi"/>
          <w:color w:val="000000"/>
        </w:rPr>
        <w:t>okresowe zwolnienie lub ograniczenie stosowania zasady konkurencyjności w celu szybszych zamówień i usprawnienia realizacji pomocy w sytuacji kryzysowej</w:t>
      </w:r>
    </w:p>
    <w:p>
      <w:pPr>
        <w:pStyle w:val="NormalWeb"/>
        <w:numPr>
          <w:ilvl w:val="0"/>
          <w:numId w:val="2"/>
        </w:numPr>
        <w:spacing w:beforeAutospacing="0" w:before="0" w:afterAutospacing="0" w:after="120"/>
        <w:jc w:val="both"/>
        <w:textAlignment w:val="baseline"/>
        <w:rPr>
          <w:rFonts w:ascii="Calibri" w:hAnsi="Calibri" w:cs="Calibri" w:asciiTheme="minorHAnsi" w:cstheme="minorHAnsi" w:hAnsiTheme="minorHAnsi"/>
          <w:color w:val="000000"/>
        </w:rPr>
      </w:pPr>
      <w:r>
        <w:rPr>
          <w:rFonts w:cs="Calibri" w:ascii="Calibri" w:hAnsi="Calibri" w:asciiTheme="minorHAnsi" w:cstheme="minorHAnsi" w:hAnsiTheme="minorHAnsi"/>
          <w:color w:val="000000"/>
        </w:rPr>
        <w:t>większe premiowanie zakupów usług/produktów od podmiotów ekonomii społecznej co pozwoli im utrzymać się na rynku i zmniejszyć ryzyko likwidacji miejsc pracy</w:t>
      </w:r>
    </w:p>
    <w:p>
      <w:pPr>
        <w:pStyle w:val="NormalWeb"/>
        <w:numPr>
          <w:ilvl w:val="0"/>
          <w:numId w:val="1"/>
        </w:numPr>
        <w:spacing w:beforeAutospacing="0" w:before="240" w:afterAutospacing="0" w:after="120"/>
        <w:jc w:val="both"/>
        <w:rPr>
          <w:rFonts w:ascii="Calibri" w:hAnsi="Calibri" w:cs="Calibri" w:asciiTheme="minorHAnsi" w:cstheme="minorHAnsi" w:hAnsiTheme="minorHAnsi"/>
        </w:rPr>
      </w:pPr>
      <w:r>
        <w:rPr>
          <w:rFonts w:cs="Calibri" w:ascii="Calibri" w:hAnsi="Calibri" w:asciiTheme="minorHAnsi" w:cstheme="minorHAnsi" w:hAnsiTheme="minorHAnsi"/>
          <w:color w:val="000000"/>
        </w:rPr>
        <w:t xml:space="preserve">Niezbędne jest przeanalizowanie zapisów Ustawy o postępowaniu w sprawach pomocy publicznej, tak by nie ograniczała ona wsparcia podmiotów znajdujących </w:t>
        <w:br/>
        <w:t>się kryzysowej sytuacji.</w:t>
      </w:r>
    </w:p>
    <w:p>
      <w:pPr>
        <w:pStyle w:val="NormalWeb"/>
        <w:numPr>
          <w:ilvl w:val="0"/>
          <w:numId w:val="1"/>
        </w:numPr>
        <w:spacing w:beforeAutospacing="0" w:before="240" w:afterAutospacing="0" w:after="120"/>
        <w:jc w:val="both"/>
        <w:rPr>
          <w:rFonts w:ascii="Calibri" w:hAnsi="Calibri" w:cs="Calibri" w:asciiTheme="minorHAnsi" w:cstheme="minorHAnsi" w:hAnsiTheme="minorHAnsi"/>
        </w:rPr>
      </w:pPr>
      <w:r>
        <w:rPr>
          <w:rFonts w:cs="Calibri" w:ascii="Calibri" w:hAnsi="Calibri" w:asciiTheme="minorHAnsi" w:cstheme="minorHAnsi" w:hAnsiTheme="minorHAnsi"/>
          <w:color w:val="000000"/>
        </w:rPr>
        <w:t>Uważamy za niezbędne całościowe spojrzenie na aktywne wsparcie podmiotów ekonomii społecznej, realizujących zadania w sferze pożytku publicznego. Organizacje tworzą kilkaset tysięcy miejsc pracy i olbrzymi potencjał pomocowy, szczególnie ważny w sytuacji kryzysowej w jakiej się znajdujemy. Jesteśmy gotowi by przedstawić propozycje wsparcia dla tego sektora. </w:t>
      </w:r>
    </w:p>
    <w:p>
      <w:pPr>
        <w:pStyle w:val="NormalWeb"/>
        <w:numPr>
          <w:ilvl w:val="0"/>
          <w:numId w:val="1"/>
        </w:numPr>
        <w:spacing w:beforeAutospacing="0" w:before="240" w:afterAutospacing="0" w:after="120"/>
        <w:jc w:val="both"/>
        <w:rPr>
          <w:rFonts w:ascii="Calibri" w:hAnsi="Calibri" w:cs="Calibri" w:asciiTheme="minorHAnsi" w:cstheme="minorHAnsi" w:hAnsiTheme="minorHAnsi"/>
        </w:rPr>
      </w:pPr>
      <w:r>
        <w:rPr>
          <w:rFonts w:cs="Calibri" w:ascii="Calibri" w:hAnsi="Calibri" w:asciiTheme="minorHAnsi" w:cstheme="minorHAnsi" w:hAnsiTheme="minorHAnsi"/>
          <w:color w:val="000000"/>
        </w:rPr>
        <w:t xml:space="preserve">Prosimy o zwrócenie się do Ministra Rodziny, Pracy i Polityki Społecznej, aby  umożliwić </w:t>
      </w:r>
      <w:r>
        <w:rPr>
          <w:rFonts w:cs="Calibri" w:ascii="Calibri" w:hAnsi="Calibri" w:asciiTheme="minorHAnsi" w:cstheme="minorHAnsi" w:hAnsiTheme="minorHAnsi"/>
          <w:color w:val="222222"/>
          <w:shd w:fill="FFFFFF" w:val="clear"/>
        </w:rPr>
        <w:t>wydłużenie przewidzianej Wytycznymi akredytacji Ośrodkom Wsparcia Ekonomii Społecznej oraz przeprowadzenie akredytacji w formach zdalnych lub przyznanie akredytacji bez konieczności dokonywania nowego audytu, bazując na wynikach poprzedniego lub wizyty monitorującej. Aktualna sytuacja wpływa także bezpośrednio na zagrożenie stabilności funkcjonowanie Ośrodków, które muszą sprawnie reagować na problemy wynikające z pandemii, stąd wymieniona prośba.</w:t>
      </w:r>
    </w:p>
    <w:p>
      <w:pPr>
        <w:pStyle w:val="NormalWeb"/>
        <w:spacing w:beforeAutospacing="0" w:before="240" w:afterAutospacing="0" w:after="120"/>
        <w:jc w:val="both"/>
        <w:rPr>
          <w:rFonts w:ascii="Calibri" w:hAnsi="Calibri" w:cs="Calibri" w:asciiTheme="minorHAnsi" w:cstheme="minorHAnsi" w:hAnsiTheme="minorHAnsi"/>
        </w:rPr>
      </w:pPr>
      <w:r>
        <w:rPr>
          <w:rFonts w:cs="Calibri" w:ascii="Calibri" w:hAnsi="Calibri" w:asciiTheme="minorHAnsi" w:cstheme="minorHAnsi" w:hAnsiTheme="minorHAnsi"/>
          <w:color w:val="000000"/>
        </w:rPr>
        <w:t>Mamy nadzieję, że nasze propozycje będą pozytywnie przyjęte, co umożliwi podjęcie kolejnych działań, które zapobiegną upadkowi lub poważnemu regresowi przedsiębiorstw społecznych tworzonych przez osoby i dla osób w najtrudniejszej sytuacji na rynku pracy.</w:t>
      </w:r>
    </w:p>
    <w:p>
      <w:pPr>
        <w:pStyle w:val="NormalWeb"/>
        <w:spacing w:beforeAutospacing="0" w:before="240" w:afterAutospacing="0" w:after="120"/>
        <w:jc w:val="both"/>
        <w:rPr>
          <w:rFonts w:ascii="Calibri" w:hAnsi="Calibri" w:cs="Calibri" w:asciiTheme="minorHAnsi" w:cstheme="minorHAnsi" w:hAnsiTheme="minorHAnsi"/>
        </w:rPr>
      </w:pPr>
      <w:r>
        <w:rPr>
          <w:rFonts w:cs="Calibri" w:ascii="Calibri" w:hAnsi="Calibri" w:asciiTheme="minorHAnsi" w:cstheme="minorHAnsi" w:hAnsiTheme="minorHAnsi"/>
          <w:color w:val="000000"/>
        </w:rPr>
        <w:t>Jesteśmy w pełni gotowi do dalszej dyskusji o szczegółach i deklarujemy gotowość do ścisłej współpracy z Ministerstwem w zakresie przeciwdziałania skutkom obecnej sytuacji.</w:t>
      </w:r>
    </w:p>
    <w:p>
      <w:pPr>
        <w:pStyle w:val="Normal"/>
        <w:spacing w:lineRule="auto" w:line="240" w:before="0" w:after="120"/>
        <w:rPr>
          <w:rFonts w:cs="Calibri" w:cstheme="minorHAnsi"/>
          <w:sz w:val="24"/>
          <w:szCs w:val="24"/>
        </w:rPr>
      </w:pPr>
      <w:r>
        <w:rPr>
          <w:rFonts w:cs="Calibri" w:cstheme="minorHAnsi"/>
          <w:sz w:val="24"/>
          <w:szCs w:val="24"/>
        </w:rPr>
      </w:r>
    </w:p>
    <w:p>
      <w:pPr>
        <w:pStyle w:val="Normal"/>
        <w:spacing w:lineRule="auto" w:line="240" w:before="0" w:after="120"/>
        <w:rPr>
          <w:rFonts w:cs="Calibri" w:cstheme="minorHAnsi"/>
          <w:sz w:val="24"/>
          <w:szCs w:val="24"/>
        </w:rPr>
      </w:pPr>
      <w:r>
        <w:rPr>
          <w:rFonts w:cs="Calibri" w:cstheme="minorHAnsi"/>
          <w:sz w:val="24"/>
          <w:szCs w:val="24"/>
        </w:rPr>
        <w:t>Sygnatariusze listu:</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sz w:val="24"/>
          <w:szCs w:val="24"/>
        </w:rPr>
        <w:t>Fundacja Rozwoju Ekonomii Społecznej z Wałbrzycha (podmiot współprowadzący Ośrodek Wsparcia Ekonomii Społecznej w Wałbrzychu).</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sz w:val="24"/>
          <w:szCs w:val="24"/>
        </w:rPr>
        <w:t>Regionalne Centrum Wspierania Inicjatyw Pozarządowych z Wrocławia (podmiot współprowadzący Ośrodek Wsparcia Ekonomii Społecznej we Wrocławiu).</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color w:val="333333"/>
          <w:sz w:val="24"/>
          <w:szCs w:val="24"/>
          <w:shd w:fill="FFFFFF" w:val="clear"/>
        </w:rPr>
        <w:t>Elbląskiego Stowarzyszenie Wspierania Inicjatyw Pozarządowych.</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sz w:val="24"/>
          <w:szCs w:val="24"/>
        </w:rPr>
        <w:t>Wielkopolski Ośrodek Ekonomii Społecznej przy Stowarzyszeniu Na Rzecz Spółdzielni Socjalnych.</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sz w:val="24"/>
          <w:szCs w:val="24"/>
        </w:rPr>
        <w:t>Centrum Promocji i Rozwoju Inicjatyw Obywatelskich OPUS z Łodzi.</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sz w:val="24"/>
          <w:szCs w:val="24"/>
        </w:rPr>
        <w:t>Stowarzyszenie Forum Aktywności Lokalnej z Wałbrzycha (podmiot współprowadzący Ośrodek Wsparcia Ekonomii Społecznej w Wałbrzychu).</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sz w:val="24"/>
          <w:szCs w:val="24"/>
        </w:rPr>
        <w:t>Ogólnopolski Związek Rewizyjny Spółdzielni Socjalnych.</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sz w:val="24"/>
          <w:szCs w:val="24"/>
        </w:rPr>
        <w:t xml:space="preserve">Wspólnota Robocza Związków Organizacji Socjalnych WRZOS. </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sz w:val="24"/>
          <w:szCs w:val="24"/>
        </w:rPr>
        <w:t>Legnickie Stowarzyszenie Inicjatyw Obywatelskich oraz Sudecki Instytut Rozwoju Regionalnego w partnerstwie OWES Legnica oraz OWES Jelenia Góra.</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color w:val="222222"/>
          <w:sz w:val="24"/>
          <w:szCs w:val="24"/>
          <w:shd w:fill="FFFFFF" w:val="clear"/>
        </w:rPr>
        <w:t>Fundacja Rozwoju Społeczeństwa Obywatelskiego.</w:t>
      </w:r>
    </w:p>
    <w:p>
      <w:pPr>
        <w:pStyle w:val="ListParagraph"/>
        <w:numPr>
          <w:ilvl w:val="1"/>
          <w:numId w:val="2"/>
        </w:numPr>
        <w:tabs>
          <w:tab w:val="left" w:pos="709" w:leader="none"/>
        </w:tabs>
        <w:spacing w:lineRule="auto" w:line="240" w:before="0" w:after="120"/>
        <w:ind w:left="709" w:hanging="709"/>
        <w:jc w:val="both"/>
        <w:rPr>
          <w:rStyle w:val="6qdm"/>
          <w:rFonts w:cs="Calibri" w:cstheme="minorHAnsi"/>
          <w:sz w:val="24"/>
          <w:szCs w:val="24"/>
        </w:rPr>
      </w:pPr>
      <w:r>
        <w:rPr>
          <w:rStyle w:val="6qdm"/>
          <w:rFonts w:cs="Calibri" w:cstheme="minorHAnsi"/>
          <w:sz w:val="24"/>
          <w:szCs w:val="24"/>
        </w:rPr>
        <w:t>Fundacja Fundusz Współpracy – Mazowiecki Ośrodek Wsparcia Ekonomii Społecznej.</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sz w:val="24"/>
          <w:szCs w:val="24"/>
        </w:rPr>
        <w:t>Ośrodek Wsparcia Ekonomii Społecznej Mazowsza Płockiego.</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color w:val="222222"/>
          <w:sz w:val="24"/>
          <w:szCs w:val="24"/>
          <w:shd w:fill="FFFFFF" w:val="clear"/>
        </w:rPr>
        <w:t>Ośrodek Wspierania Ekonomii Społecznej Subregionu Południowego województwa opolskiego.</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color w:val="222222"/>
          <w:sz w:val="24"/>
          <w:szCs w:val="24"/>
          <w:shd w:fill="FFFFFF" w:val="clear"/>
        </w:rPr>
        <w:t xml:space="preserve">Ośrodek Wspierania Ekonomii Społecznej Subregionu Środkowego województwa opolskiego. </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color w:val="222222"/>
          <w:sz w:val="24"/>
          <w:szCs w:val="24"/>
          <w:shd w:fill="FFFFFF" w:val="clear"/>
        </w:rPr>
        <w:t>Nadwiślański Ośrodek Wspierania Ekonomii Społecznej z Dzierzgonia.</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color w:val="222222"/>
          <w:sz w:val="24"/>
          <w:szCs w:val="24"/>
          <w:shd w:fill="FFFFFF" w:val="clear"/>
        </w:rPr>
        <w:t>Leszczyński Ośrodek Wspierania Ekonomii Społecznej prowadzony przez Centrum PISOP.</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sz w:val="24"/>
          <w:szCs w:val="24"/>
        </w:rPr>
        <w:t>Ośrodek Wspierania Ekonomii Społecznej obszaru rybnickiego prowadzony przez Centrum Rozwoju Inicjatyw Społecznych CRIS</w:t>
      </w:r>
      <w:r>
        <w:rPr>
          <w:rFonts w:cs="Calibri" w:cstheme="minorHAnsi"/>
          <w:color w:val="1C1E21"/>
          <w:sz w:val="24"/>
          <w:szCs w:val="24"/>
          <w:shd w:fill="F2F3F5" w:val="clear"/>
        </w:rPr>
        <w:t>.</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sz w:val="24"/>
          <w:szCs w:val="24"/>
        </w:rPr>
        <w:t>Fundacja na rzecz Collegium Polonicum – lider Ośrodka Wpierania Ekonomii Społecznej w Zielonej Górze.</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sz w:val="24"/>
          <w:szCs w:val="24"/>
        </w:rPr>
        <w:t xml:space="preserve">Małopolski Ośrodek Wsparcia Ekonomii Społecznej, w skład którego wchodzą: Fundacja Gospodarki i Administracji Publicznej, Fundacja Biuro Inicjatyw Społecznych, Agencja Rozwoju Małopolski Zachodniej S.A., Fundacja Rozwoju Demokracji Lokalnej Małopolski Instytut Samorządu Terytorialnego i Administracji, Spółdzielnia Socjalna OPOKA, Związek Lustracyjny Spółdzielni Pracy. </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sz w:val="24"/>
          <w:szCs w:val="24"/>
        </w:rPr>
        <w:t>Stowarzyszenie Integracja i Rozwój – lider Kielecko – Ostrowieckiego Ośrodka Wsparcia Ekonomii Społecznej.</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sz w:val="24"/>
          <w:szCs w:val="24"/>
        </w:rPr>
        <w:t>Wielobranżowa Spółdzielnia Socjalna Arte z Bielawy</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sz w:val="24"/>
          <w:szCs w:val="24"/>
        </w:rPr>
        <w:t>Fundacja Sychem z Bielawy</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sz w:val="24"/>
          <w:szCs w:val="24"/>
        </w:rPr>
        <w:t>Ośrodek Wsparcia Ekonomii Społecznej z Poznania prowadzony przez Fundację Pomocy Wzajemnej Barka oraz Miasto Poznań.</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sz w:val="24"/>
          <w:szCs w:val="24"/>
        </w:rPr>
        <w:t>Caritas Diecezji Kieleckiej – Lider Świętokrzyskiego Ośrodka Wsparcia Ekonomii Społecznej.</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sz w:val="24"/>
          <w:szCs w:val="24"/>
        </w:rPr>
        <w:t>Stowarzyszenie Centrum Wspierania Przedsiębiorczości z Wrocławia.</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sz w:val="24"/>
          <w:szCs w:val="24"/>
        </w:rPr>
        <w:t>Ośrodek Wsparcia Ekonomii Społecznej „JA – TY – MY” prowadzony przez Stowarzyszenie Wsparcie Społeczne „Ja-Ty-My”</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sz w:val="24"/>
          <w:szCs w:val="24"/>
        </w:rPr>
        <w:t>Małopolski Ośrodek Wsparcia Ekonomii Społecznej w partnerstwie: Lider Projektu: Towarzystwo Oświatowe Ziemi Chrzanowskiej w Chrzanowie, Partnerzy: Fundacja Rozwoju Regionu Rabka, Fundacja Miejsc i Ludzi Aktywnych, Fundacja im. Hetmana Jana Tarnowskiego, Stowarzyszenie Inicjatyw Społecznych i Oświatowych „Cumulus”.</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color w:val="000000"/>
          <w:sz w:val="24"/>
          <w:szCs w:val="24"/>
          <w:shd w:fill="FFFFFF" w:val="clear"/>
        </w:rPr>
        <w:t>Sieć Zachodniopomorskich Ośrodków Wsparcia Ekonomii Społecznej.</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color w:val="000000"/>
          <w:sz w:val="24"/>
          <w:szCs w:val="24"/>
          <w:shd w:fill="FFFFFF" w:val="clear"/>
        </w:rPr>
        <w:t>Stowarzyszenie Współpracy Regionalnej (OWES SWR).</w:t>
      </w:r>
    </w:p>
    <w:p>
      <w:pPr>
        <w:pStyle w:val="ListParagraph"/>
        <w:numPr>
          <w:ilvl w:val="1"/>
          <w:numId w:val="2"/>
        </w:numPr>
        <w:tabs>
          <w:tab w:val="left" w:pos="709" w:leader="none"/>
        </w:tabs>
        <w:spacing w:lineRule="auto" w:line="240" w:before="0" w:after="120"/>
        <w:ind w:left="709" w:hanging="709"/>
        <w:jc w:val="both"/>
        <w:rPr>
          <w:rFonts w:cs="Calibri" w:cstheme="minorHAnsi"/>
          <w:sz w:val="24"/>
          <w:szCs w:val="24"/>
        </w:rPr>
      </w:pPr>
      <w:r>
        <w:rPr>
          <w:rFonts w:cs="Calibri" w:cstheme="minorHAnsi"/>
          <w:color w:val="000000"/>
          <w:sz w:val="24"/>
          <w:szCs w:val="24"/>
          <w:shd w:fill="FFFFFF" w:val="clear"/>
        </w:rPr>
        <w:t xml:space="preserve">OWES obszaru bielskiego (Stowarzyszenie Bielskie Centrum Przedsiębiorczości </w:t>
        <w:br/>
        <w:t>z Bielskim Stowarzyszeniem Artystycznym Teatr Grodzki).</w:t>
      </w:r>
      <w:r>
        <w:rPr>
          <w:rFonts w:cs="Calibri" w:cstheme="minorHAnsi"/>
          <w:sz w:val="24"/>
          <w:szCs w:val="24"/>
        </w:rPr>
        <w:t xml:space="preserve"> </w:t>
      </w:r>
    </w:p>
    <w:p>
      <w:pPr>
        <w:pStyle w:val="ListParagraph"/>
        <w:spacing w:lineRule="auto" w:line="240" w:before="0" w:after="120"/>
        <w:ind w:left="709" w:hanging="0"/>
        <w:jc w:val="both"/>
        <w:rPr>
          <w:rFonts w:cs="Calibri" w:cstheme="minorHAnsi"/>
          <w:sz w:val="24"/>
          <w:szCs w:val="24"/>
        </w:rPr>
      </w:pPr>
      <w:r>
        <w:rPr>
          <w:rFonts w:cs="Calibri" w:cstheme="minorHAnsi"/>
          <w:sz w:val="24"/>
          <w:szCs w:val="24"/>
        </w:rPr>
      </w:r>
    </w:p>
    <w:p>
      <w:pPr>
        <w:pStyle w:val="ListParagraph"/>
        <w:spacing w:lineRule="auto" w:line="240" w:before="0" w:after="120"/>
        <w:ind w:left="709" w:hanging="0"/>
        <w:jc w:val="both"/>
        <w:rPr>
          <w:rFonts w:cs="Calibri" w:cstheme="minorHAnsi"/>
          <w:sz w:val="24"/>
          <w:szCs w:val="24"/>
        </w:rPr>
      </w:pPr>
      <w:r>
        <w:rPr>
          <w:rFonts w:cs="Calibri" w:cstheme="minorHAnsi"/>
          <w:sz w:val="24"/>
          <w:szCs w:val="24"/>
        </w:rPr>
      </w:r>
    </w:p>
    <w:p>
      <w:pPr>
        <w:pStyle w:val="ListParagraph"/>
        <w:spacing w:lineRule="auto" w:line="240" w:before="0" w:after="120"/>
        <w:ind w:left="709" w:hanging="0"/>
        <w:jc w:val="both"/>
        <w:rPr>
          <w:rFonts w:cs="Calibri" w:cstheme="minorHAnsi"/>
          <w:sz w:val="24"/>
          <w:szCs w:val="24"/>
        </w:rPr>
      </w:pPr>
      <w:r>
        <w:rPr>
          <w:rFonts w:cs="Calibri" w:cstheme="minorHAnsi"/>
          <w:sz w:val="24"/>
          <w:szCs w:val="24"/>
        </w:rPr>
        <w:t xml:space="preserve"> </w:t>
      </w:r>
      <w:r>
        <w:rPr>
          <w:rFonts w:cs="Calibri" w:cstheme="minorHAnsi"/>
          <w:sz w:val="24"/>
          <w:szCs w:val="24"/>
        </w:rPr>
        <w:t>Do wiadomości:</w:t>
      </w:r>
    </w:p>
    <w:p>
      <w:pPr>
        <w:pStyle w:val="2cuy"/>
        <w:numPr>
          <w:ilvl w:val="0"/>
          <w:numId w:val="6"/>
        </w:numPr>
        <w:shd w:val="clear" w:color="auto" w:fill="FFFFFF"/>
        <w:spacing w:lineRule="atLeast" w:line="270"/>
        <w:ind w:left="720" w:right="180" w:hanging="360"/>
        <w:rPr>
          <w:rFonts w:ascii="Calibri" w:hAnsi="Calibri" w:cs="Calibri" w:asciiTheme="minorHAnsi" w:cstheme="minorHAnsi" w:hAnsiTheme="minorHAnsi"/>
          <w:color w:val="1D2129"/>
        </w:rPr>
      </w:pPr>
      <w:r>
        <w:rPr>
          <w:rFonts w:cs="Calibri" w:ascii="Calibri" w:hAnsi="Calibri" w:asciiTheme="minorHAnsi" w:cstheme="minorHAnsi" w:hAnsiTheme="minorHAnsi"/>
          <w:color w:val="1D2129"/>
        </w:rPr>
        <w:t>Iwona Michałek - Pełnomocnik Rządu ds. Ekonomii Społecznej i Solidarnej,</w:t>
      </w:r>
    </w:p>
    <w:p>
      <w:pPr>
        <w:pStyle w:val="2cuy"/>
        <w:numPr>
          <w:ilvl w:val="0"/>
          <w:numId w:val="6"/>
        </w:numPr>
        <w:shd w:val="clear" w:color="auto" w:fill="FFFFFF"/>
        <w:spacing w:lineRule="atLeast" w:line="270"/>
        <w:ind w:left="720" w:right="180" w:hanging="360"/>
        <w:rPr>
          <w:rFonts w:ascii="Calibri" w:hAnsi="Calibri" w:cs="Calibri" w:asciiTheme="minorHAnsi" w:cstheme="minorHAnsi" w:hAnsiTheme="minorHAnsi"/>
          <w:color w:val="1D2129"/>
        </w:rPr>
      </w:pPr>
      <w:r>
        <w:rPr>
          <w:rFonts w:cs="Calibri" w:ascii="Calibri" w:hAnsi="Calibri" w:asciiTheme="minorHAnsi" w:cstheme="minorHAnsi" w:hAnsiTheme="minorHAnsi"/>
          <w:color w:val="1D2129"/>
        </w:rPr>
        <w:t>Piotr Krasuski - Dyrektor Departamentu EFS,</w:t>
      </w:r>
    </w:p>
    <w:p>
      <w:pPr>
        <w:pStyle w:val="2cuy"/>
        <w:numPr>
          <w:ilvl w:val="0"/>
          <w:numId w:val="6"/>
        </w:numPr>
        <w:shd w:val="clear" w:color="auto" w:fill="FFFFFF"/>
        <w:spacing w:lineRule="atLeast" w:line="270"/>
        <w:ind w:left="720" w:right="180" w:hanging="360"/>
        <w:rPr>
          <w:rFonts w:ascii="Calibri" w:hAnsi="Calibri" w:cs="Calibri" w:asciiTheme="minorHAnsi" w:cstheme="minorHAnsi" w:hAnsiTheme="minorHAnsi"/>
          <w:color w:val="1D2129"/>
        </w:rPr>
      </w:pPr>
      <w:r>
        <w:rPr>
          <w:rFonts w:cs="Calibri" w:ascii="Calibri" w:hAnsi="Calibri" w:asciiTheme="minorHAnsi" w:cstheme="minorHAnsi" w:hAnsiTheme="minorHAnsi"/>
          <w:color w:val="1D2129"/>
        </w:rPr>
        <w:t>Andżelika Wardęga - Dyrektor Departamentu Ekonomii Społecznej i Solidarnej</w:t>
      </w:r>
    </w:p>
    <w:p>
      <w:pPr>
        <w:pStyle w:val="Normal"/>
        <w:spacing w:lineRule="auto" w:line="240" w:before="0" w:after="120"/>
        <w:rPr>
          <w:rFonts w:cs="Calibri" w:cstheme="minorHAnsi"/>
          <w:sz w:val="24"/>
          <w:szCs w:val="24"/>
          <w:u w:val="single"/>
        </w:rPr>
      </w:pPr>
      <w:r>
        <w:rPr>
          <w:rFonts w:cs="Calibri" w:cstheme="minorHAnsi"/>
          <w:sz w:val="24"/>
          <w:szCs w:val="24"/>
          <w:u w:val="single"/>
        </w:rPr>
        <w:t>Załącznik:</w:t>
      </w:r>
    </w:p>
    <w:p>
      <w:pPr>
        <w:pStyle w:val="Normal"/>
        <w:spacing w:lineRule="auto" w:line="240" w:before="0" w:after="120"/>
        <w:jc w:val="both"/>
        <w:rPr>
          <w:bCs/>
          <w:sz w:val="24"/>
          <w:szCs w:val="24"/>
        </w:rPr>
      </w:pPr>
      <w:r>
        <w:rPr>
          <w:bCs/>
          <w:sz w:val="24"/>
          <w:szCs w:val="24"/>
        </w:rPr>
        <w:t>Propozycje zmian Wytycznych Ministra Funduszy i Polityki Regionalnej w zakresie realizacji przedsięwzięć w obszarze włączenia społecznego i zwalczania ubóstwa z wykorzystaniem środków Europejskiego Funduszu Społecznego i Europejskiego Funduszu Rozwoju Regionalnego na lata 2014-2020</w:t>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spacing w:lineRule="auto" w:line="240" w:before="0" w:after="120"/>
        <w:jc w:val="both"/>
        <w:rPr>
          <w:bCs/>
          <w:sz w:val="24"/>
          <w:szCs w:val="24"/>
        </w:rPr>
      </w:pPr>
      <w:r>
        <w:rPr>
          <w:bCs/>
          <w:sz w:val="24"/>
          <w:szCs w:val="24"/>
        </w:rPr>
      </w:r>
    </w:p>
    <w:p>
      <w:pPr>
        <w:pStyle w:val="Normal"/>
        <w:rPr>
          <w:b/>
          <w:b/>
          <w:bCs/>
          <w:sz w:val="24"/>
          <w:szCs w:val="24"/>
          <w:u w:val="single"/>
        </w:rPr>
      </w:pPr>
      <w:r>
        <w:rPr>
          <w:b/>
          <w:bCs/>
          <w:sz w:val="24"/>
          <w:szCs w:val="24"/>
          <w:u w:val="single"/>
        </w:rPr>
        <w:t>Załącznik</w:t>
      </w:r>
    </w:p>
    <w:p>
      <w:pPr>
        <w:pStyle w:val="Normal"/>
        <w:rPr>
          <w:bCs/>
          <w:sz w:val="24"/>
          <w:szCs w:val="24"/>
        </w:rPr>
      </w:pPr>
      <w:r>
        <w:rPr>
          <w:b/>
          <w:bCs/>
          <w:sz w:val="24"/>
          <w:szCs w:val="24"/>
        </w:rPr>
        <w:t xml:space="preserve">Propozycje zmian Wytycznych Ministra Funduszy i Polityki Regionalnej w zakresie realizacji przedsięwzięć w obszarze włączenia społecznego i zwalczania ubóstwa z wykorzystaniem środków Europejskiego Funduszu Społecznego i Europejskiego Funduszu Rozwoju Regionalnego na lata 2014-2020 </w:t>
      </w:r>
      <w:r>
        <w:rPr>
          <w:bCs/>
          <w:sz w:val="24"/>
          <w:szCs w:val="24"/>
        </w:rPr>
        <w:t>[zmiany powinny wejść ze skutkiem natychmiastowym niezależnie od stosowania określonej wersji wytycznych]</w:t>
      </w:r>
    </w:p>
    <w:p>
      <w:pPr>
        <w:pStyle w:val="Normal"/>
        <w:rPr>
          <w:sz w:val="24"/>
          <w:szCs w:val="24"/>
        </w:rPr>
      </w:pPr>
      <w:r>
        <w:rPr>
          <w:sz w:val="24"/>
          <w:szCs w:val="24"/>
        </w:rPr>
      </w:r>
    </w:p>
    <w:p>
      <w:pPr>
        <w:pStyle w:val="Normal"/>
        <w:jc w:val="both"/>
        <w:rPr>
          <w:sz w:val="24"/>
          <w:szCs w:val="24"/>
          <w:u w:val="single"/>
        </w:rPr>
      </w:pPr>
      <w:r>
        <w:rPr>
          <w:sz w:val="24"/>
          <w:szCs w:val="24"/>
          <w:u w:val="single"/>
        </w:rPr>
        <w:t xml:space="preserve">Wprowadza się nowy Podrozdział 7.2. o treści: </w:t>
      </w:r>
    </w:p>
    <w:p>
      <w:pPr>
        <w:pStyle w:val="Normal"/>
        <w:jc w:val="both"/>
        <w:rPr>
          <w:b/>
          <w:b/>
          <w:sz w:val="24"/>
          <w:szCs w:val="24"/>
        </w:rPr>
      </w:pPr>
      <w:r>
        <w:rPr>
          <w:b/>
          <w:sz w:val="24"/>
          <w:szCs w:val="24"/>
        </w:rPr>
      </w:r>
    </w:p>
    <w:p>
      <w:pPr>
        <w:pStyle w:val="Normal"/>
        <w:spacing w:lineRule="auto" w:line="240" w:before="0" w:after="120"/>
        <w:rPr>
          <w:b/>
          <w:b/>
          <w:i/>
          <w:i/>
          <w:sz w:val="24"/>
          <w:szCs w:val="24"/>
        </w:rPr>
      </w:pPr>
      <w:r>
        <w:rPr>
          <w:b/>
          <w:i/>
          <w:sz w:val="24"/>
          <w:szCs w:val="24"/>
        </w:rPr>
        <w:t>Podrozdział 7.2 – Działania wspierające zatrudnienie w przedsiębiorstwach społecznych, które zostały czasowo zamknięte lub ich działalność została ograniczona z powodu sytuacji kryzysowej wywołanej zapobieganiem, przeciwdziałaniem i zwalczaniem COVID-19</w:t>
      </w:r>
    </w:p>
    <w:p>
      <w:pPr>
        <w:pStyle w:val="Normal"/>
        <w:spacing w:lineRule="auto" w:line="240" w:before="0" w:after="120"/>
        <w:rPr/>
      </w:pPr>
      <w:r>
        <w:rPr/>
      </w:r>
    </w:p>
    <w:p>
      <w:pPr>
        <w:pStyle w:val="ListParagraph"/>
        <w:numPr>
          <w:ilvl w:val="0"/>
          <w:numId w:val="4"/>
        </w:numPr>
        <w:spacing w:lineRule="auto" w:line="360" w:before="0" w:after="0"/>
        <w:jc w:val="both"/>
        <w:rPr/>
      </w:pPr>
      <w:r>
        <w:rPr/>
        <w:t xml:space="preserve">Celem przeciwdziałaniu upadłości przedsiębiorstw społecznych oraz biorąc pod uwagę potrzebę ochrony przed likwidacją miejsc pracy dla osób zagrożonych wykluczeniem społecznym, wprowadza się czasowo działania wspierające dla przedsiębiorstw społecznych przez które należy rozumieć również podmioty ekonomii społecznej będące w trakcie przekształcania </w:t>
        <w:br/>
        <w:t>w przedsiębiorstwo społeczne, których sytuacja uległa zmianie w jednym z poniższych obszarów:</w:t>
      </w:r>
    </w:p>
    <w:p>
      <w:pPr>
        <w:pStyle w:val="ListParagraph"/>
        <w:numPr>
          <w:ilvl w:val="0"/>
          <w:numId w:val="5"/>
        </w:numPr>
        <w:spacing w:lineRule="auto" w:line="360" w:before="0" w:after="0"/>
        <w:jc w:val="both"/>
        <w:rPr/>
      </w:pPr>
      <w:r>
        <w:rPr/>
        <w:t>których główna działalność została wstrzymana wskutek zawieszenia funkcjonowania</w:t>
        <w:br/>
        <w:t xml:space="preserve">lub czasowego ograniczenia działań przedsiębiorców na podstawie przepisów: ustawy z dnia 2 marca 2020 r. o szczególnych rozwiązaniach związanych z zapobieganiem, przeciwdziałaniem i zwalczaniem COVID-19, innych chorób zakaźnych oraz wywołanych nimi sytuacji kryzysowych (Dz. U. z 2020 r. poz. 374), rozporządzenia Ministra Edukacji Narodowej z dnia 11 marca 2020 r. w sprawie czasowego ograniczenia funkcjonowania jednostek systemu oświaty w związku z zapobieganiem, przeciwdziałaniem i zwalczaniem COVID-19 (Dz.U. z 2020 r. poz. 410),  </w:t>
        <w:br/>
        <w:t>oraz rozporządzenia Ministra Zdrowia z dnia 13 marca 2020 r. w sprawie ogłoszenia na obszarze Rzeczypospolitej Polskiej stanu zagrożenia epidemicznego, co spowodowało zmniejszenie przychodów o co najmniej 50% ogólnego przychodu w danym okresie.</w:t>
      </w:r>
    </w:p>
    <w:p>
      <w:pPr>
        <w:pStyle w:val="ListParagraph"/>
        <w:numPr>
          <w:ilvl w:val="0"/>
          <w:numId w:val="5"/>
        </w:numPr>
        <w:spacing w:lineRule="auto" w:line="360" w:before="0" w:after="0"/>
        <w:jc w:val="both"/>
        <w:rPr/>
      </w:pPr>
      <w:r>
        <w:rPr/>
        <w:t>które były dostawcami produktów lub usług dla przedsiębiorstw lub podmiotów, których działalność została wstrzymana na mocy przepisów, o których mowa  w ppkt. 1), a przychody z tej współpracy stanowiły minimum 50% ogólnego przychodu przedsiębiorstw społecznych których działalność została znacząco ograniczona w związku z wprowadzeniem stanu epidemicznego,</w:t>
      </w:r>
    </w:p>
    <w:p>
      <w:pPr>
        <w:pStyle w:val="ListParagraph"/>
        <w:numPr>
          <w:ilvl w:val="0"/>
          <w:numId w:val="5"/>
        </w:numPr>
        <w:spacing w:lineRule="auto" w:line="360" w:before="0" w:after="0"/>
        <w:jc w:val="both"/>
        <w:rPr/>
      </w:pPr>
      <w:r>
        <w:rPr/>
        <w:t>których działalność została wstrzymana lub ograniczona w związku z wprowadzeniem stanu epidemicznego i sytuacja kryzysową.</w:t>
      </w:r>
    </w:p>
    <w:p>
      <w:pPr>
        <w:pStyle w:val="ListParagraph"/>
        <w:numPr>
          <w:ilvl w:val="0"/>
          <w:numId w:val="4"/>
        </w:numPr>
        <w:spacing w:lineRule="auto" w:line="360" w:before="0" w:after="0"/>
        <w:jc w:val="both"/>
        <w:rPr/>
      </w:pPr>
      <w:r>
        <w:rPr/>
        <w:t xml:space="preserve">Przedsiębiorstwa społeczne, których działalność została wstrzymana na mocy przepisów, o których mowa w pkt. 1 lub ich działanie zostało ograniczone z uwagi na dostarczanie produktów lub usług na rzecz podmiotów, których działalność została wstrzymana, lub ich działalność została ograniczona mogą otrzymać: </w:t>
      </w:r>
    </w:p>
    <w:p>
      <w:pPr>
        <w:pStyle w:val="ListParagraph"/>
        <w:numPr>
          <w:ilvl w:val="0"/>
          <w:numId w:val="3"/>
        </w:numPr>
        <w:spacing w:lineRule="auto" w:line="360" w:before="0" w:after="0"/>
        <w:jc w:val="both"/>
        <w:rPr/>
      </w:pPr>
      <w:r>
        <w:rPr/>
        <w:t>wsparcie  finansowe w postaci wsparcia pomostowego, na każdego zatrudnionego pracownika,</w:t>
      </w:r>
    </w:p>
    <w:p>
      <w:pPr>
        <w:pStyle w:val="ListParagraph"/>
        <w:numPr>
          <w:ilvl w:val="0"/>
          <w:numId w:val="3"/>
        </w:numPr>
        <w:spacing w:lineRule="auto" w:line="360" w:before="0" w:after="480"/>
        <w:ind w:left="720" w:hanging="357"/>
        <w:jc w:val="both"/>
        <w:rPr/>
      </w:pPr>
      <w:r>
        <w:rPr/>
        <w:t>złagodzenie warunków umów związanych ze wsparciem finansowym z RPO,</w:t>
      </w:r>
    </w:p>
    <w:p>
      <w:pPr>
        <w:pStyle w:val="ListParagraph"/>
        <w:numPr>
          <w:ilvl w:val="0"/>
          <w:numId w:val="3"/>
        </w:numPr>
        <w:spacing w:lineRule="auto" w:line="360" w:before="0" w:after="480"/>
        <w:ind w:left="720" w:hanging="357"/>
        <w:jc w:val="both"/>
        <w:rPr/>
      </w:pPr>
      <w:r>
        <w:rPr/>
        <w:t>zawieszenie spłat lub egzekucji pożyczek oferowanych przez pośredników finansowych,</w:t>
      </w:r>
    </w:p>
    <w:p>
      <w:pPr>
        <w:pStyle w:val="ListParagraph"/>
        <w:numPr>
          <w:ilvl w:val="0"/>
          <w:numId w:val="3"/>
        </w:numPr>
        <w:spacing w:lineRule="auto" w:line="360" w:before="0" w:after="480"/>
        <w:ind w:left="720" w:hanging="357"/>
        <w:jc w:val="both"/>
        <w:rPr/>
      </w:pPr>
      <w:r>
        <w:rPr/>
        <w:t>pożyczki płynnościowe,</w:t>
      </w:r>
    </w:p>
    <w:p>
      <w:pPr>
        <w:pStyle w:val="ListParagraph"/>
        <w:numPr>
          <w:ilvl w:val="0"/>
          <w:numId w:val="3"/>
        </w:numPr>
        <w:spacing w:lineRule="auto" w:line="360" w:before="0" w:after="480"/>
        <w:ind w:left="720" w:hanging="357"/>
        <w:rPr/>
      </w:pPr>
      <w:r>
        <w:rPr/>
        <w:t xml:space="preserve">inne niezbędne wsparcie finansowe i niefinansowe zgodnie ze zdiagnozowani potrzebami przez OWES. </w:t>
      </w:r>
    </w:p>
    <w:p>
      <w:pPr>
        <w:pStyle w:val="ListParagraph"/>
        <w:numPr>
          <w:ilvl w:val="0"/>
          <w:numId w:val="4"/>
        </w:numPr>
        <w:spacing w:lineRule="auto" w:line="360" w:before="0" w:after="480"/>
        <w:ind w:left="360" w:hanging="357"/>
        <w:jc w:val="both"/>
        <w:rPr/>
      </w:pPr>
      <w:r>
        <w:rPr/>
        <w:t xml:space="preserve">Wsparcie pomostowe, o którym mowa w pkt. 2 lit a) przysługuje na każdego pracownika (zatrudnionych na podstawie umów o pracę, spółdzielczych umów o pracę oraz umów cywilno-prawnych), niezależnie od tego czy jego miejsce pracy powstało przy udziale środków z EFS, do wysokości minimalnego wynagrodzenia za pracę w rozumieniu przepisów ustawy z dnia 10 października 2002 r. o minimalnym wynagrodzeniu wraz z kosztami pracodawcy za pracę tj. 3200 zł miesięcznie na każde takie stanowisko funkcjonujące w przedsiębiorstwie społecznym na dzień wstrzymania działalności albo jej ograniczenia. </w:t>
      </w:r>
    </w:p>
    <w:p>
      <w:pPr>
        <w:pStyle w:val="ListParagraph"/>
        <w:numPr>
          <w:ilvl w:val="0"/>
          <w:numId w:val="4"/>
        </w:numPr>
        <w:spacing w:lineRule="auto" w:line="360" w:before="0" w:after="480"/>
        <w:ind w:left="360" w:hanging="357"/>
        <w:jc w:val="both"/>
        <w:rPr/>
      </w:pPr>
      <w:r>
        <w:rPr/>
        <w:t>Wsparcie pomostowe o którym mowa w pkt. 2 lit a) może zostać przeznaczone na finansowanie wynagrodzeń brutto lub/i obowiązkowych składek ZUS lub/i innych wydatków bieżących, niezbędnych do bieżącego funkcjonowania przedsiębiorstwa społecznego.</w:t>
      </w:r>
    </w:p>
    <w:p>
      <w:pPr>
        <w:pStyle w:val="ListParagraph"/>
        <w:numPr>
          <w:ilvl w:val="0"/>
          <w:numId w:val="4"/>
        </w:numPr>
        <w:spacing w:lineRule="auto" w:line="360" w:before="0" w:after="0"/>
        <w:jc w:val="both"/>
        <w:rPr/>
      </w:pPr>
      <w:r>
        <w:rPr/>
        <w:t xml:space="preserve">Wsparcie pomostowe, o którym mowa w pkt. 2 lit a) przysługuje proporcjonalnie do liczby dni wstrzymania albo ograniczenia działalności, jak również do trzech miesięcy po tym okresie. </w:t>
        <w:br/>
        <w:t xml:space="preserve">Przy zatrudnieniu pracownika w wymiarze co najmniej 1/2 wymiaru czasu pracy, wsparcie wypłacane jest w pełnej wysokości na pracownika, zaś w przypadku zatrudnieniu w wymiarze poniżej 1/2 wymiaru czasu pracy w wysokości połowy minimalnego wynagrodzenia za prace </w:t>
      </w:r>
      <w:r>
        <w:rPr>
          <w:rFonts w:cs="Calibri" w:cstheme="minorHAnsi"/>
        </w:rPr>
        <w:t xml:space="preserve">- </w:t>
      </w:r>
      <w:r>
        <w:rPr>
          <w:rFonts w:cs="Calibri" w:cstheme="minorHAnsi"/>
          <w:color w:val="000000"/>
        </w:rPr>
        <w:t>pod warunkiem deklaracji o utrzymaniu zatrudnienia w tym samym wymiarze, co najmniej przez 1 dodatkowy miesiąc za każde 3 miesiące otrzymanego wsparcia (np. 3 miesiące wsparcia pomostowego oraz 1 dodatkowy miesiąc bez wsparcia).</w:t>
      </w:r>
      <w:r>
        <w:rPr>
          <w:rFonts w:cs="Arial" w:ascii="Arial" w:hAnsi="Arial"/>
          <w:color w:val="000000"/>
        </w:rPr>
        <w:t xml:space="preserve"> </w:t>
      </w:r>
      <w:r>
        <w:rPr/>
        <w:t xml:space="preserve">W przypadku uzyskania wsparcia pomostowego, o którym mowa w ust. 2 pkt 1, w okresie trwałości utworzonych miejsc pracy, </w:t>
        <w:br/>
        <w:t>o których mowa w Rozdziale 7 pkt b 13 lit a, powoduje, że deklaracja zatrudnienia nie obowiązuje.</w:t>
      </w:r>
    </w:p>
    <w:p>
      <w:pPr>
        <w:pStyle w:val="ListParagraph"/>
        <w:numPr>
          <w:ilvl w:val="0"/>
          <w:numId w:val="4"/>
        </w:numPr>
        <w:spacing w:lineRule="auto" w:line="360" w:before="0" w:after="0"/>
        <w:jc w:val="both"/>
        <w:rPr>
          <w:rFonts w:cs="Calibri" w:cstheme="minorHAnsi"/>
        </w:rPr>
      </w:pPr>
      <w:r>
        <w:rPr/>
        <w:t xml:space="preserve">Wsparcie pomostowe w wysokości, o której mowa w pkt. 3 i 5 wypłaca Ośrodek Wsparcia Ekonomii Społecznej ze środków wygospodarowanych z oszczędności, lub przesunięć w projekcie i/lub </w:t>
      </w:r>
      <w:r>
        <w:rPr>
          <w:rFonts w:cs="Calibri" w:cstheme="minorHAnsi"/>
        </w:rPr>
        <w:t xml:space="preserve">dodatkowych środków otrzymanych od Instytucji Zarządzającej RPO i/lub innych źródeł, w terminie 7 dni od </w:t>
      </w:r>
      <w:r>
        <w:rPr>
          <w:rFonts w:cs="Calibri" w:cstheme="minorHAnsi"/>
          <w:color w:val="000000"/>
        </w:rPr>
        <w:t>dnia zaakceptowania wniosku złożonego</w:t>
      </w:r>
      <w:r>
        <w:rPr>
          <w:rFonts w:cs="Calibri" w:cstheme="minorHAnsi"/>
        </w:rPr>
        <w:t xml:space="preserve"> przez przedsiębiorstwo społeczne, bez potrzeby zmiany wniosku o dofinansowanie po porozumieniu z Instytucją Zarządzającą RPO, pod warunkiem posiadania środków. </w:t>
      </w:r>
    </w:p>
    <w:p>
      <w:pPr>
        <w:pStyle w:val="ListParagraph"/>
        <w:numPr>
          <w:ilvl w:val="0"/>
          <w:numId w:val="4"/>
        </w:numPr>
        <w:spacing w:lineRule="auto" w:line="360" w:before="0" w:after="0"/>
        <w:ind w:left="357" w:hanging="357"/>
        <w:jc w:val="both"/>
        <w:rPr/>
      </w:pPr>
      <w:r>
        <w:rPr/>
        <w:t>W przypadku niemożności wygospodarowania oszczędności przez Ośrodek Wsparcia Ekonomii Społecznej, wnioskuje on do Instytucji Zarządzającej RPO o dodatkowe środki na wsparcie pomostowe. Instytucje Zarządzające RPO w terminie nie dłuższym niż 14 dni od dnia złożenia wniosku przez OWES są zobowiązane aneksować umowy o dofinansowanie mając na względzie zapewnienie możliwości realizowania działań wspierających. Aneks może przewidywać zwiększenie dofinansowania, lub zmniejszenie wymaganych wskaźników celem przesunięcia środków na działania wspierające przedsiębiorstwa społeczne. W przypadku zmiany wskaźników możliwe jest wstrzymanie naborów na tworzenie kolejnych miejsc pracy, z wyjątkiem procesów już rozpoczętych. Przy zwiększeniu wartości projektu, nie powoduje to zmiany wysokości wkładu własnego w projekcie.</w:t>
      </w:r>
    </w:p>
    <w:p>
      <w:pPr>
        <w:pStyle w:val="ListParagraph"/>
        <w:numPr>
          <w:ilvl w:val="0"/>
          <w:numId w:val="4"/>
        </w:numPr>
        <w:spacing w:lineRule="auto" w:line="360" w:before="0" w:after="0"/>
        <w:ind w:left="357" w:hanging="357"/>
        <w:jc w:val="both"/>
        <w:rPr/>
      </w:pPr>
      <w:r>
        <w:rPr/>
        <w:t xml:space="preserve">Instytucja Zarządzająca RPO mając na względzie kwestie o których mowa w pkt. 7, w porozumieniu z Regionalnym Komitetem Rozwoju Ekonomii Społecznej, Regionalnym Ośrodkiem Polityki Społecznej oraz Ośrodkami Wsparcia Ekonomii Społecznej, jest obowiązana do przeanalizowania wartości wskaźników w projektach, w szczególności wskaźnika nowych miejsc pracy i ewentualnie ich zmiany. </w:t>
      </w:r>
    </w:p>
    <w:p>
      <w:pPr>
        <w:pStyle w:val="ListParagraph"/>
        <w:numPr>
          <w:ilvl w:val="0"/>
          <w:numId w:val="4"/>
        </w:numPr>
        <w:spacing w:lineRule="auto" w:line="360" w:before="0" w:after="0"/>
        <w:ind w:left="357" w:hanging="357"/>
        <w:jc w:val="both"/>
        <w:rPr/>
      </w:pPr>
      <w:r>
        <w:rPr/>
        <w:t>W projektach realizowanych w ramach Regionalnych Programów Operacyjnych, które posiadają inne niż wskazane w pkt. 2 możliwości wsparcia przedsiębiorstw społecznych, Instytucja Zarządzająca RPO umożliwi skierowanie tego wsparcia dla przedsiębiorstw społecznych znajdujących się w kryzysie, tj. w sytuacji wskazanej w pkt. 1, Instytucja Zarządzająca RPO może skierować dodatkowe środki na działania przeciwdziałające skutkom kryzysu w ramach realizowanych projektów. Wsparcie to może obejmować działania wskazane w pkt. 2 oraz wszystkie inne działania, które zostaną uznane za konieczne do realizacji.</w:t>
      </w:r>
    </w:p>
    <w:p>
      <w:pPr>
        <w:pStyle w:val="ListParagraph"/>
        <w:numPr>
          <w:ilvl w:val="0"/>
          <w:numId w:val="4"/>
        </w:numPr>
        <w:spacing w:lineRule="auto" w:line="360" w:before="0" w:after="0"/>
        <w:ind w:left="357" w:hanging="357"/>
        <w:jc w:val="both"/>
        <w:rPr/>
      </w:pPr>
      <w:r>
        <w:rPr/>
        <w:t xml:space="preserve">W okresie wstrzymania lub ograniczenia działalności przedsiębiorstw społecznych, w zakresie przyznawania i rozliczenia wsparcia finansowego, o którym mowa  pkt. 2, nie stosuje się wymogów związanych z niezaleganiem ze składkami na ubezpieczenie społeczne i wobec Urzędu Skarbowego, a także innych wymogów określonych w umowie zawartej w zakresie przyznania wsparcia finansowego (np. warunki i czas rozliczeń, zmiany przeznaczenia środków) po porozumieniu </w:t>
        <w:br/>
        <w:t>z Instytucją Zarządzającą RPO.</w:t>
      </w:r>
    </w:p>
    <w:p>
      <w:pPr>
        <w:pStyle w:val="ListParagraph"/>
        <w:numPr>
          <w:ilvl w:val="0"/>
          <w:numId w:val="4"/>
        </w:numPr>
        <w:spacing w:lineRule="auto" w:line="360" w:before="0" w:after="0"/>
        <w:jc w:val="both"/>
        <w:rPr>
          <w:rFonts w:cs="Calibri" w:cstheme="minorHAnsi"/>
        </w:rPr>
      </w:pPr>
      <w:r>
        <w:rPr/>
        <w:t xml:space="preserve">Pośrednicy finansowi oferujący instrumenty finansowe wstrzymują egzekucje należnych płatności, oraz rat pożyczkowych poprzez zastosowanie specjalnej karencji na okres wstrzymania działalności, o której mowa w pkt 1. oraz trzech miesięcy po zakończeniu okresu wstrzymania działalności. Pośrednicy finansowi przygotowują i zawierają bez zbędnej zwłoki specjalne aneksy do umów pożyczkowych gwarantujące nowe warunki spłat. </w:t>
      </w:r>
      <w:r>
        <w:rPr>
          <w:rFonts w:cs="Calibri" w:cstheme="minorHAnsi"/>
          <w:color w:val="000000"/>
        </w:rPr>
        <w:t>Pośrednicy finansowi mają również możliwość złagodzenia warunków przyznawania nowych pożyczek, np. poprzez dłuższą karencje, łagodniejsze zabezpieczenia.</w:t>
      </w:r>
    </w:p>
    <w:p>
      <w:pPr>
        <w:pStyle w:val="ListParagraph"/>
        <w:numPr>
          <w:ilvl w:val="0"/>
          <w:numId w:val="4"/>
        </w:numPr>
        <w:spacing w:lineRule="auto" w:line="360" w:before="0" w:after="0"/>
        <w:jc w:val="both"/>
        <w:rPr/>
      </w:pPr>
      <w:r>
        <w:rPr/>
        <w:t xml:space="preserve">Jeżeli okres wstrzymania działalności albo jej ograniczenia przez przedsiębiorstwo społeczne  spowoduje taki jego stan, że zgodnie z przeprowadzonymi przez OWES analizami </w:t>
        <w:br/>
        <w:t xml:space="preserve">nie da się przeciwdziałać sytuacji kryzysowej oraz w świetle przeprowadzonych analiz nie będzie możliwości odzyskania płynności finansowej podmiotu, tym samym podmiot nie będzie w stanie wywiązać się ze zobowiązań wskazanych w umowie o udzielenie wsparcia finansowego </w:t>
        <w:br/>
        <w:t xml:space="preserve">i pomostowego,  Instytucja Zarządzająca RPO uznaje wskaźniki odnoszące się do tworzonych miejsc pracy w danym przedsiębiorstwie społecznym (w tym podmiocie ekonomii społecznej przekształcanym w przedsiębiorstwo społeczne)  za rozliczone i warunki trwałości, o których mowa w Rozdziale 7 pkt 13 lit a i b spełnione, i nie będzie dochodzić zwrotu wydatkowanego wsparcia </w:t>
        <w:br/>
        <w:t>w przypadku likwidacji przedsiębiorstwa społecznego, zawieszenia jego działalności w okresie trwałości bądź zmniejszenia liczby miejsc pracy w skutek sytuacji określonej w ust. 1. Powyższe przeprowadzane jest bez zmiany umów zawartych z przedsiębiorstwami społecznymi  (w tym podmiotami ekonomii społecznej przekształcanymi w przedsiębiorstwa społeczne) na podstawie danych przedstawianych przez OWES.</w:t>
      </w:r>
    </w:p>
    <w:p>
      <w:pPr>
        <w:pStyle w:val="ListParagraph"/>
        <w:numPr>
          <w:ilvl w:val="0"/>
          <w:numId w:val="4"/>
        </w:numPr>
        <w:spacing w:lineRule="auto" w:line="360" w:before="0" w:after="0"/>
        <w:ind w:left="357" w:hanging="357"/>
        <w:jc w:val="both"/>
        <w:rPr/>
      </w:pPr>
      <w:r>
        <w:rPr/>
        <w:t xml:space="preserve">W wyniku likwidacji PS z przyczyn określonych w pkt. 12 majątek likwidowanego przedsiębiorstwa może być przekazany na rzecz innego funkcjonującego przedsiębiorstwo społeczne o podobnym profilu działania działające na rynku minimum od 12 miesięcy, po uprzedniej rekomendacji </w:t>
        <w:br/>
        <w:t xml:space="preserve">przez OWES zasadności wyboru. </w:t>
      </w:r>
    </w:p>
    <w:p>
      <w:pPr>
        <w:pStyle w:val="ListParagraph"/>
        <w:numPr>
          <w:ilvl w:val="0"/>
          <w:numId w:val="4"/>
        </w:numPr>
        <w:spacing w:lineRule="auto" w:line="360" w:before="0" w:after="0"/>
        <w:ind w:left="357" w:hanging="357"/>
        <w:jc w:val="both"/>
        <w:rPr/>
      </w:pPr>
      <w:r>
        <w:rPr/>
        <w:t xml:space="preserve">Do zapisów niniejszego podrozdziału nie stosuje się przepisów zawartych w Rozdziale 7 pkt 2 lit. e. </w:t>
      </w:r>
    </w:p>
    <w:p>
      <w:pPr>
        <w:pStyle w:val="ListParagraph"/>
        <w:numPr>
          <w:ilvl w:val="0"/>
          <w:numId w:val="4"/>
        </w:numPr>
        <w:spacing w:lineRule="auto" w:line="360" w:before="0" w:after="0"/>
        <w:ind w:left="357" w:hanging="357"/>
        <w:jc w:val="both"/>
        <w:rPr/>
      </w:pPr>
      <w:r>
        <w:rPr/>
        <w:t xml:space="preserve">W uzasadnionych przypadkach wsparciem, o którym mowa w pkt. 2 mogą być objęte również inne podmioty ekonomii społecznej, których działalność została zagrożona ze względu na sytuację kryzysową wywołaną zapobieganiem, przeciwdziałaniem i zwalczaniem COVID-19.  </w:t>
        <w:br/>
        <w:t xml:space="preserve">W szczególności dotyczy to objęcia podmiotów ekonomii społecznej, które prowadzą Centra Integracji Społecznej, dzienne domy pomocy oraz inne placówki społeczne i podmioty reintegracyjne, których działalność została czasowo zawieszona. </w:t>
      </w:r>
    </w:p>
    <w:p>
      <w:pPr>
        <w:pStyle w:val="Normal"/>
        <w:spacing w:lineRule="auto" w:line="240" w:before="0" w:after="120"/>
        <w:jc w:val="both"/>
        <w:rPr/>
      </w:pPr>
      <w:r>
        <w:rPr/>
      </w:r>
    </w:p>
    <w:sectPr>
      <w:type w:val="nextPage"/>
      <w:pgSz w:w="11906" w:h="16838"/>
      <w:pgMar w:left="1417" w:right="1417"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Segoe UI">
    <w:charset w:val="ee"/>
    <w:family w:val="roman"/>
    <w:pitch w:val="variable"/>
  </w:font>
  <w:font w:name="Liberation Sans">
    <w:altName w:val="Arial"/>
    <w:charset w:val="ee"/>
    <w:family w:val="swiss"/>
    <w:pitch w:val="variable"/>
  </w:font>
  <w:font w:name="Arial">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lvl w:ilvl="0">
      <w:start w:val="1"/>
      <w:numFmt w:val="lowerLetter"/>
      <w:lvlText w:val="%1)"/>
      <w:lvlJc w:val="left"/>
      <w:pPr>
        <w:ind w:left="720" w:hanging="360"/>
      </w:pPr>
      <w:rPr>
        <w:rFonts w:eastAsia="Calibri" w: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ind w:left="360" w:hanging="360"/>
      </w:pPr>
      <w:rPr>
        <w:rFonts w:eastAsia="Calibri" w: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decimal"/>
      <w:lvlText w:val="%1."/>
      <w:lvlJc w:val="left"/>
      <w:pPr>
        <w:tabs>
          <w:tab w:val="num" w:pos="720"/>
        </w:tabs>
        <w:ind w:left="720" w:hanging="360"/>
      </w:pPr>
      <w:rPr>
        <w:sz w:val="20"/>
        <w:rFonts w:eastAsia="Times New Roman" w:cs="Helvetica"/>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33dc4"/>
    <w:pPr>
      <w:widowControl/>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pl-PL" w:eastAsia="en-US" w:bidi="ar-SA"/>
    </w:rPr>
  </w:style>
  <w:style w:type="paragraph" w:styleId="Nagwek2">
    <w:name w:val="Heading 2"/>
    <w:basedOn w:val="Normal"/>
    <w:link w:val="Nagwek2Znak"/>
    <w:uiPriority w:val="9"/>
    <w:qFormat/>
    <w:rsid w:val="00fc0cbd"/>
    <w:pPr>
      <w:spacing w:lineRule="auto" w:line="240" w:beforeAutospacing="1" w:afterAutospacing="1"/>
      <w:outlineLvl w:val="1"/>
    </w:pPr>
    <w:rPr>
      <w:rFonts w:ascii="Times New Roman" w:hAnsi="Times New Roman" w:eastAsia="Times New Roman" w:cs="Times New Roman"/>
      <w:b/>
      <w:bCs/>
      <w:sz w:val="36"/>
      <w:szCs w:val="36"/>
      <w:lang w:eastAsia="pl-PL"/>
    </w:rPr>
  </w:style>
  <w:style w:type="character" w:styleId="DefaultParagraphFont" w:default="1">
    <w:name w:val="Default Paragraph Font"/>
    <w:uiPriority w:val="1"/>
    <w:semiHidden/>
    <w:unhideWhenUsed/>
    <w:qFormat/>
    <w:rPr/>
  </w:style>
  <w:style w:type="character" w:styleId="Nagwek2Znak" w:customStyle="1">
    <w:name w:val="Nagłówek 2 Znak"/>
    <w:basedOn w:val="DefaultParagraphFont"/>
    <w:link w:val="Nagwek2"/>
    <w:uiPriority w:val="9"/>
    <w:qFormat/>
    <w:rsid w:val="00fc0cbd"/>
    <w:rPr>
      <w:rFonts w:ascii="Times New Roman" w:hAnsi="Times New Roman" w:eastAsia="Times New Roman" w:cs="Times New Roman"/>
      <w:b/>
      <w:bCs/>
      <w:sz w:val="36"/>
      <w:szCs w:val="36"/>
      <w:lang w:eastAsia="pl-PL"/>
    </w:rPr>
  </w:style>
  <w:style w:type="character" w:styleId="TekstprzypisukocowegoZnak" w:customStyle="1">
    <w:name w:val="Tekst przypisu końcowego Znak"/>
    <w:basedOn w:val="DefaultParagraphFont"/>
    <w:link w:val="Tekstprzypisukocowego"/>
    <w:uiPriority w:val="99"/>
    <w:semiHidden/>
    <w:qFormat/>
    <w:rsid w:val="00cf1772"/>
    <w:rPr>
      <w:sz w:val="20"/>
      <w:szCs w:val="20"/>
    </w:rPr>
  </w:style>
  <w:style w:type="character" w:styleId="Endnotereference">
    <w:name w:val="endnote reference"/>
    <w:basedOn w:val="DefaultParagraphFont"/>
    <w:uiPriority w:val="99"/>
    <w:semiHidden/>
    <w:unhideWhenUsed/>
    <w:qFormat/>
    <w:rsid w:val="00cf1772"/>
    <w:rPr>
      <w:vertAlign w:val="superscript"/>
    </w:rPr>
  </w:style>
  <w:style w:type="character" w:styleId="TekstdymkaZnak" w:customStyle="1">
    <w:name w:val="Tekst dymka Znak"/>
    <w:basedOn w:val="DefaultParagraphFont"/>
    <w:link w:val="Tekstdymka"/>
    <w:uiPriority w:val="99"/>
    <w:semiHidden/>
    <w:qFormat/>
    <w:rsid w:val="00195dc7"/>
    <w:rPr>
      <w:rFonts w:ascii="Segoe UI" w:hAnsi="Segoe UI" w:cs="Segoe UI"/>
      <w:sz w:val="18"/>
      <w:szCs w:val="18"/>
    </w:rPr>
  </w:style>
  <w:style w:type="character" w:styleId="6qdm" w:customStyle="1">
    <w:name w:val="_6qdm"/>
    <w:basedOn w:val="DefaultParagraphFont"/>
    <w:qFormat/>
    <w:rsid w:val="000d3251"/>
    <w:rPr/>
  </w:style>
  <w:style w:type="character" w:styleId="Czeinternetowe">
    <w:name w:val="Łącze internetowe"/>
    <w:basedOn w:val="DefaultParagraphFont"/>
    <w:uiPriority w:val="99"/>
    <w:semiHidden/>
    <w:unhideWhenUsed/>
    <w:rsid w:val="000d3251"/>
    <w:rPr>
      <w:color w:val="0000FF"/>
      <w:u w:val="single"/>
    </w:rPr>
  </w:style>
  <w:style w:type="character" w:styleId="ListLabel1">
    <w:name w:val="ListLabel 1"/>
    <w:qFormat/>
    <w:rPr>
      <w:u w:val="none"/>
    </w:rPr>
  </w:style>
  <w:style w:type="character" w:styleId="ListLabel2">
    <w:name w:val="ListLabel 2"/>
    <w:qFormat/>
    <w:rPr>
      <w:u w:val="none"/>
    </w:rPr>
  </w:style>
  <w:style w:type="character" w:styleId="ListLabel3">
    <w:name w:val="ListLabel 3"/>
    <w:qFormat/>
    <w:rPr>
      <w:u w:val="none"/>
    </w:rPr>
  </w:style>
  <w:style w:type="character" w:styleId="ListLabel4">
    <w:name w:val="ListLabel 4"/>
    <w:qFormat/>
    <w:rPr>
      <w:u w:val="none"/>
    </w:rPr>
  </w:style>
  <w:style w:type="character" w:styleId="ListLabel5">
    <w:name w:val="ListLabel 5"/>
    <w:qFormat/>
    <w:rPr>
      <w:u w:val="none"/>
    </w:rPr>
  </w:style>
  <w:style w:type="character" w:styleId="ListLabel6">
    <w:name w:val="ListLabel 6"/>
    <w:qFormat/>
    <w:rPr>
      <w:u w:val="none"/>
    </w:rPr>
  </w:style>
  <w:style w:type="character" w:styleId="ListLabel7">
    <w:name w:val="ListLabel 7"/>
    <w:qFormat/>
    <w:rPr>
      <w:u w:val="none"/>
    </w:rPr>
  </w:style>
  <w:style w:type="character" w:styleId="ListLabel8">
    <w:name w:val="ListLabel 8"/>
    <w:qFormat/>
    <w:rPr>
      <w:u w:val="none"/>
    </w:rPr>
  </w:style>
  <w:style w:type="character" w:styleId="ListLabel9">
    <w:name w:val="ListLabel 9"/>
    <w:qFormat/>
    <w:rPr>
      <w:u w:val="none"/>
    </w:rPr>
  </w:style>
  <w:style w:type="character" w:styleId="ListLabel10">
    <w:name w:val="ListLabel 10"/>
    <w:qFormat/>
    <w:rPr>
      <w:rFonts w:eastAsia="Calibri" w:cs=""/>
    </w:rPr>
  </w:style>
  <w:style w:type="character" w:styleId="ListLabel11">
    <w:name w:val="ListLabel 11"/>
    <w:qFormat/>
    <w:rPr>
      <w:rFonts w:eastAsia="Calibri" w:cs=""/>
    </w:rPr>
  </w:style>
  <w:style w:type="character" w:styleId="ListLabel12">
    <w:name w:val="ListLabel 12"/>
    <w:qFormat/>
    <w:rPr>
      <w:rFonts w:eastAsia="Times New Roman" w:cs="Helvetica"/>
      <w:sz w:val="20"/>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sz w:val="20"/>
    </w:rPr>
  </w:style>
  <w:style w:type="character" w:styleId="ListLabel20">
    <w:name w:val="ListLabel 20"/>
    <w:qFormat/>
    <w:rPr>
      <w:sz w:val="20"/>
    </w:rPr>
  </w:style>
  <w:style w:type="paragraph" w:styleId="Nagwek">
    <w:name w:val="Nagłówek"/>
    <w:basedOn w:val="Normal"/>
    <w:next w:val="Tretekstu"/>
    <w:qFormat/>
    <w:pPr>
      <w:keepNext/>
      <w:spacing w:before="240" w:after="120"/>
    </w:pPr>
    <w:rPr>
      <w:rFonts w:ascii="Liberation Sans" w:hAnsi="Liberation Sans" w:eastAsia="Microsoft YaHei" w:cs="Arial"/>
      <w:sz w:val="28"/>
      <w:szCs w:val="28"/>
    </w:rPr>
  </w:style>
  <w:style w:type="paragraph" w:styleId="Tretekstu">
    <w:name w:val="Body Text"/>
    <w:basedOn w:val="Normal"/>
    <w:pPr>
      <w:spacing w:lineRule="auto" w:line="288"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Normalny1" w:customStyle="1">
    <w:name w:val="Normalny1"/>
    <w:qFormat/>
    <w:rsid w:val="00fc0cbd"/>
    <w:pPr>
      <w:widowControl/>
      <w:bidi w:val="0"/>
      <w:spacing w:before="0" w:after="0"/>
      <w:jc w:val="left"/>
    </w:pPr>
    <w:rPr>
      <w:rFonts w:ascii="Arial" w:hAnsi="Arial" w:eastAsia="Arial" w:cs="Arial"/>
      <w:color w:val="auto"/>
      <w:sz w:val="22"/>
      <w:szCs w:val="22"/>
      <w:lang w:eastAsia="pl-PL" w:val="pl-PL" w:bidi="ar-SA"/>
    </w:rPr>
  </w:style>
  <w:style w:type="paragraph" w:styleId="Endnotetext">
    <w:name w:val="endnote text"/>
    <w:basedOn w:val="Normal"/>
    <w:link w:val="TekstprzypisukocowegoZnak"/>
    <w:uiPriority w:val="99"/>
    <w:semiHidden/>
    <w:unhideWhenUsed/>
    <w:qFormat/>
    <w:rsid w:val="00cf1772"/>
    <w:pPr>
      <w:spacing w:lineRule="auto" w:line="240" w:before="0" w:after="0"/>
    </w:pPr>
    <w:rPr>
      <w:sz w:val="20"/>
      <w:szCs w:val="20"/>
    </w:rPr>
  </w:style>
  <w:style w:type="paragraph" w:styleId="NormalWeb">
    <w:name w:val="Normal (Web)"/>
    <w:basedOn w:val="Normal"/>
    <w:uiPriority w:val="99"/>
    <w:semiHidden/>
    <w:unhideWhenUsed/>
    <w:qFormat/>
    <w:rsid w:val="00515769"/>
    <w:pPr>
      <w:spacing w:lineRule="auto" w:line="240" w:beforeAutospacing="1" w:afterAutospacing="1"/>
    </w:pPr>
    <w:rPr>
      <w:rFonts w:ascii="Times New Roman" w:hAnsi="Times New Roman" w:eastAsia="Times New Roman" w:cs="Times New Roman"/>
      <w:sz w:val="24"/>
      <w:szCs w:val="24"/>
      <w:lang w:eastAsia="pl-PL"/>
    </w:rPr>
  </w:style>
  <w:style w:type="paragraph" w:styleId="BalloonText">
    <w:name w:val="Balloon Text"/>
    <w:basedOn w:val="Normal"/>
    <w:link w:val="TekstdymkaZnak"/>
    <w:uiPriority w:val="99"/>
    <w:semiHidden/>
    <w:unhideWhenUsed/>
    <w:qFormat/>
    <w:rsid w:val="00195dc7"/>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980ea4"/>
    <w:pPr>
      <w:spacing w:lineRule="auto" w:line="259" w:before="0" w:after="160"/>
      <w:ind w:left="720" w:hanging="0"/>
      <w:contextualSpacing/>
    </w:pPr>
    <w:rPr/>
  </w:style>
  <w:style w:type="paragraph" w:styleId="2cuy" w:customStyle="1">
    <w:name w:val="_2cuy"/>
    <w:basedOn w:val="Normal"/>
    <w:qFormat/>
    <w:rsid w:val="00b907a6"/>
    <w:pPr>
      <w:spacing w:lineRule="auto" w:line="240" w:beforeAutospacing="1" w:afterAutospacing="1"/>
    </w:pPr>
    <w:rPr>
      <w:rFonts w:ascii="Times New Roman" w:hAnsi="Times New Roman" w:eastAsia="Times New Roman" w:cs="Times New Roman"/>
      <w:sz w:val="24"/>
      <w:szCs w:val="24"/>
      <w:lang w:eastAsia="pl-PL"/>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Application>LibreOffice/5.2.2.2$Windows_x86 LibreOffice_project/8f96e87c890bf8fa77463cd4b640a2312823f3ad</Application>
  <Pages>6</Pages>
  <Words>2362</Words>
  <Characters>16386</Characters>
  <CharactersWithSpaces>18659</CharactersWithSpaces>
  <Paragraphs>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2020-03-20T08:37:00Z</dcterms:created>
  <dc:creator>Czarek</dc:creator>
  <dc:description/>
  <dc:language>pl-PL</dc:language>
  <cp:lastModifiedBy>Zenon Matuszko</cp:lastModifiedBy>
  <dcterms:modified xsi:type="dcterms:W3CDTF">2020-03-20T10:30:00Z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